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VIKTÓRIA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Leszkoven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Sérelemdíj vagy nem vagyoni kártérítés?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magyar joggyakorlat eddig előzmény nélküli, a 2014. március 15-én hatályba lépett 2013. évi V. törvény ( új Ptk.) által bevezetésre került jogintézményt, a sérelemdíjat kívánom bemutatni, amelynek célja az volt, hogy segítséget nyújtson a jogalkalmazók számára, nem utolsó sorban pedig az, hogy megkönnyítse a bíróságok munkáját. Ennek ellenére, mint ahogy az általában minden módosításról elmondható, ezek más, új problémákat is felvetnek.</w:t>
      </w:r>
      <w:r>
        <w:rPr>
          <w:color w:val="000000"/>
          <w:sz w:val="24"/>
          <w:szCs w:val="24"/>
        </w:rPr>
        <w:br/>
        <w:t xml:space="preserve">Választásom azért esett éppen erre a témára, mert úgy gondolom, hogy mivel a gyakorlatban egy még alkalmazott bírói gyakorlattal egyáltalán nem rendelkező, kiforratlan jogintézménnyel –a továbbiakban ismertetésre kerülő sérelemdíjjal– kapcsolatos bármely tanulmány akár hiánypótló jellegű írásként szolgálhat a „jogásztársadalom” számára. Véleményem szerint fontos, hogy rávilágítsunk a várható eredményekre, esetleges problémákra, hogy a már most látható vitás kérdések felvetésre kerüljenek, hiszen egy téma csakis ebben az esetben lehet komplex. Éppen azért tartom elengedhetetlennek –az előző mondatban felvázolt–, a dolgozat alapjául szolgáló kutatás irányának és tárgykörének meghatározásában leírt főbb irányvonalakra való rámutatást, mert a sérelemdíj az új kódex talán egyik legneuralgikusabb jogintézménye. Ezért jelentett mérvadó szempontot számomra, hogy e tanulmányban elsősorban a sérelemdíjjal, ahhoz kapcsolódóan a személyiségi jogokkal, valamint a sérelemdíjnak a korábbi nem vagyoni kártérítéssel való összehasonlításával foglalkozzak, továbbá célom volt a két jogintézmény főbb különbségeinek felvázolása, amelyek segítségével kívánok rámutatni e jogintézmény által „magával hozott változásokra”. Ez azonban egyáltalán nem könnyű feladat, ugyanis a sérelemdíj talán az új kódex egyik legneuralgikusabb intézménye. Ennek legfőbb oka, hogy nemcsak a bíróságok és a jogászok életében jelent majd lényeges változást, ugyanis –akár közvetve, akár közvetlenül– szinte mindenkit érint majd. Azonban számos élethelyzet megkívánja a jogintézmény létezését, ugyanakkor visszaélésekre is lehetőséget nyújthat.</w:t>
      </w:r>
      <w:r>
        <w:rPr>
          <w:color w:val="000000"/>
          <w:sz w:val="24"/>
          <w:szCs w:val="24"/>
        </w:rPr>
        <w:br/>
        <w:t xml:space="preserve">A sérelemdíj összegének meghatározásakor fontos figyelemmel lennünk arra, hogy nem lehet különbséget tenni a megsértett jogok között, valamint arra is, hogy a személyiségi jogok azonos értéket hordoznak.</w:t>
      </w:r>
      <w:r>
        <w:rPr>
          <w:color w:val="000000"/>
          <w:sz w:val="24"/>
          <w:szCs w:val="24"/>
        </w:rPr>
        <w:br/>
        <w:t xml:space="preserve">Mindezeket azonban nem egy gyakorlott jogász, pusztán csak egy joghallgató szemszögéből nézve tudom és kívánom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14645">
    <w:multiLevelType w:val="hybridMultilevel"/>
    <w:lvl w:ilvl="0" w:tplc="93046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14645">
    <w:abstractNumId w:val="729146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3170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