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HORVÁTH</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Leszkoven PhD</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Grievance award or non-pecuniary damages?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I would like to introduce the unprecedented legal institution that entered into force in the Act V of 2013 in the Civil Code of Hungary, the grievance award. The aim of this new legal institution is to provide help for the law enforcement and make the work of courts easier. However, as in case of any legal changes or amendments, new problems might emerge that can make the application of the law more difficult.</w:t>
      </w:r>
      <w:r>
        <w:rPr>
          <w:color w:val="000000"/>
          <w:sz w:val="24"/>
          <w:szCs w:val="24"/>
        </w:rPr>
        <w:br/>
        <w:t xml:space="preserve">As the institution of grievance award has no applied judiciary practices yet, I believe that this research and its findings might help the professional community in the future. In case of recently introduced or changed institutions it is important to highlight the expected results, the potential problems in order to draw attention to the current disputes, as it is inevitable in the complex analysis of the situation.</w:t>
      </w:r>
      <w:r>
        <w:rPr>
          <w:color w:val="000000"/>
          <w:sz w:val="24"/>
          <w:szCs w:val="24"/>
        </w:rPr>
        <w:br/>
        <w:t xml:space="preserve">I believe that in the case of grievance award this complex analysis cannot be avoided as this institution is one of the most controversial issues in the Civil Code. The research focuses on three main areas: the grievance award, the personal rights related to it and the comparison of grievance award and non-pecuniary damages. Furthermore, by introducing the differences between the two institutions the consequences of the grievance award will be examined.</w:t>
      </w:r>
      <w:r>
        <w:rPr>
          <w:color w:val="000000"/>
          <w:sz w:val="24"/>
          <w:szCs w:val="24"/>
        </w:rPr>
        <w:br/>
        <w:t xml:space="preserve">This is not an easy task, as grievance award is one of the most debated questions of the Civil Code. Due to its novelty, investigation of this legal institution involves inspiring challenges for the researchers. The main reason for the necessity of research is that the institution of grievance award will not only effect courts and lawyers but also – directly or indirectly – nearly everyone. It is important to note that although in many situations the existence of grievance award is justified, it can also provide an opportunity for abuse or misuse.</w:t>
      </w:r>
      <w:r>
        <w:rPr>
          <w:color w:val="000000"/>
          <w:sz w:val="24"/>
          <w:szCs w:val="24"/>
        </w:rPr>
        <w:br/>
        <w:t xml:space="preserve">Being a pecuniary compensation or redress, grievance award includes the social condemnation of law infringement and its purpose is not only to help overcome the subjective feeling for loss and to eliminate the disadvantages caused by the grievance but also to serve as a deterrent. When determining the amount of grievance award it must be taken into account that no distinction can be made between the law infringements and that personality rights carry the same value.</w:t>
      </w:r>
      <w:r>
        <w:rPr>
          <w:color w:val="000000"/>
          <w:sz w:val="24"/>
          <w:szCs w:val="24"/>
        </w:rPr>
        <w:br/>
        <w:t xml:space="preserve">The aforementioned aspects are not examined by an expert professional but by a law student, which fact should be considered when weighing the research findings.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493760">
    <w:multiLevelType w:val="hybridMultilevel"/>
    <w:lvl w:ilvl="0" w:tplc="226476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493760">
    <w:abstractNumId w:val="424937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39136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