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HARSÁNYI CSILLA</w:t>
            </w:r>
          </w:p>
          <w:p w:rsidR="00C275A3" w:rsidRDefault="00A96AEC" w:rsidP="00C275A3">
            <w:pPr>
              <w:pStyle w:val="Hallgatokepzes"/>
            </w:pPr>
            <w:r>
              <w:t>MTB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Nóra,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felmondás és felmentés szabályai a magyar munkajogban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elmúlt két évtizedben számos jogszabály született, amelyek újításokat hoztak a munkajog ésa közszolgálat területén egyaránt. Ami igazán szembetűnő, hogy a jogalkotó a 2012. évi Mt. és ugyanezen évben hatályba lépett Kttv. megalkotásával új alapokra helyezte mind a munkaviszony, mind a kormányzati szolgálati jogviszony megszüntetésének rendszerét. A felmondásra vonatkozó rendelkezések tekintetében számos lényegi változás történt, ugyanakkor a felmentés szabályozási koncepcióját is jelentősen átalakította a jogalkotó.</w:t>
      </w:r>
      <w:r>
        <w:rPr>
          <w:color w:val="000000"/>
          <w:sz w:val="24"/>
          <w:szCs w:val="24"/>
        </w:rPr>
        <w:br/>
        <w:t xml:space="preserve">  A 2012-es esztendőt azonban más szempontból is fordulópontként értékelhetjük, ugyanis ekkor történt meg a közszolgálat leválasztása a munkajogról, így elengedhetetlen a dogmatikai alapok ismertetése ahhoz, hogy a téma kapcsán rendszerben tudjuk elhelyezni az Mt.-ben szabályozott munkaviszonyt és a közszolgálatból ismert kormányzati szolgálati jogviszonyt. Ugyanakkor fontos megemlíteni, hogy a munkajog és a közszolgálat elhatárolása több ponton is problematikus, hiszen e két terület folyamatos interakcióban van egymással.</w:t>
      </w:r>
      <w:r>
        <w:rPr>
          <w:color w:val="000000"/>
          <w:sz w:val="24"/>
          <w:szCs w:val="24"/>
        </w:rPr>
        <w:br/>
        <w:t xml:space="preserve">  Álláspontom szerint a munkáltatói felmondás megfeleltethető a közszolgálatban szabályozott felmentésnek. Ebből kiindulva levezethető, hogy a két jogintézmény sem jellege, sem szabályozási koncepciója alapján nem mutat nagyfokú eltérést, így lehetőség nyílik arra, hogy párhuzamot vonjak közöttük, rámutatva a hasonlóságokra, egyben feltárva a lényegesebb különbségeket is. Vizsgálatom fő célkitűzése ugyanis e két jogviszony szabályozási struktúrájának összehasonlításán alapszik, ennek értelmében tulajdonképpen „duális” elemzést fogok végezni, hiszen először a régi és új jogszabályokat kell górcső alá vennem, majd csak ezután lehetséges a felmondásra és felmentésre vonatkozó rendelkezések összevetése.</w:t>
      </w:r>
      <w:r>
        <w:rPr>
          <w:color w:val="000000"/>
          <w:sz w:val="24"/>
          <w:szCs w:val="24"/>
        </w:rPr>
        <w:br/>
        <w:t xml:space="preserve">  Nagyon fontosnak tartom továbbá, hogy kifejtsem a felmondás, illetve a felmentés indoklása kapcsán felmerülő kérdéseket, ezen belül is a felmondásra okot adó esetköröket, valamint a felmentés szubjektív és objektív indokait egyaránt.</w:t>
      </w:r>
      <w:r>
        <w:rPr>
          <w:color w:val="000000"/>
          <w:sz w:val="24"/>
          <w:szCs w:val="24"/>
        </w:rPr>
        <w:br/>
        <w:t xml:space="preserve">Ezen felül példaként az egyes jogszabályhelyekhez kapcsolódó konkrét jogeseteket is felvázolok, ezáltal ugyanis képet kaphatunk a hazai bírói joggyakorlat alakulásáról. </w:t>
      </w:r>
      <w:r>
        <w:rPr>
          <w:color w:val="000000"/>
          <w:sz w:val="24"/>
          <w:szCs w:val="24"/>
        </w:rPr>
        <w:br/>
        <w:t xml:space="preserve">Végül, de nem utolsó sorban felvetem a két jogterület egységesítésének lehetőségét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50723">
    <w:multiLevelType w:val="hybridMultilevel"/>
    <w:lvl w:ilvl="0" w:tplc="470300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50723">
    <w:abstractNumId w:val="42750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375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