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HARSÁNYI CSILLA</w:t>
            </w:r>
          </w:p>
          <w:p w:rsidR="00C275A3" w:rsidRDefault="00A96AEC" w:rsidP="00C275A3">
            <w:pPr>
              <w:pStyle w:val="Hallgatokepzes"/>
            </w:pPr>
            <w:r>
              <w:t>MTB</w:t>
            </w:r>
            <w:r>
              <w:br/>
            </w:r>
            <w:r w:rsidR="00E77B23">
              <w:t>BA, 5. semester</w:t>
            </w:r>
          </w:p>
          <w:p w:rsidR="00C265CE" w:rsidRPr="009E5FF1" w:rsidRDefault="00E77B23" w:rsidP="00C275A3">
            <w:pPr>
              <w:pStyle w:val="Hallgatokepzes"/>
              <w:rPr>
                <w:b/>
                <w:caps/>
              </w:rPr>
            </w:pPr>
            <w:r>
              <w:t>University of Miskolc</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Jakab Nóra, PHD</w:t>
            </w:r>
          </w:p>
          <w:p w:rsidR="00DB4822" w:rsidRDefault="00DB4822" w:rsidP="00E11062">
            <w:pPr>
              <w:pStyle w:val="Konzulensek"/>
            </w:pPr>
            <w:r w:rsidRPr="00DB4822">
              <w:t>assistant professor, ME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Dismissal in the Hungarian Labour Law</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In the last two decades there have been numerous changes in the labour law regulation including the labour law of public service too (furthermore referred to as the public service’s regulation or public service). The most outstanding amendment took place in the termination’s regulation with Act I of 2012 on the Labour Code (furthermore referred to as Mt.) and Act CXCIX of 2011 on the public servants (furthermore referred to as Kttv.). The legislator placed the regulation on different basis regarding dismissal in the Mt and Kttv.</w:t>
      </w:r>
      <w:r>
        <w:rPr>
          <w:color w:val="000000"/>
          <w:sz w:val="24"/>
          <w:szCs w:val="24"/>
        </w:rPr>
        <w:br/>
        <w:t xml:space="preserve">  In 2012 there has been a great change in the dogmatic of labor law as the public service has been separated from labour law. Therefore it is important to look closer the dogmatic issue in order to systemise the labor law and public service relations and consequently the dismissal regulation in these two fields. The separation of labour law and public service has not been without difficulties; it is problematic from more point of views as these two areas are in continuous interactions with each other.</w:t>
      </w:r>
      <w:r>
        <w:rPr>
          <w:color w:val="000000"/>
          <w:sz w:val="24"/>
          <w:szCs w:val="24"/>
        </w:rPr>
        <w:br/>
        <w:t xml:space="preserve">  In my opinion dismissal on behalf of the employer in Mt. equals with the dismissal in Kttv. Consequently these two institutions do not show great differences relating the regulation. Therefore I am going to make a parallel presentation of the dismissal’s regulations while pointing out the differences as well. My examination focuses on the comparison of the regulation’s structure of these two institutions resulting in a dual analysis by comparing the old and new provisions.</w:t>
      </w:r>
      <w:r>
        <w:rPr>
          <w:color w:val="000000"/>
          <w:sz w:val="24"/>
          <w:szCs w:val="24"/>
        </w:rPr>
        <w:br/>
        <w:t xml:space="preserve">The reasoning of the dismissal forms a crucial part of the provisions; therefore I am going to deal with them on a broad scale. Moreover without complete presentation concrete cases will be presented relating to the provisions so that the Hungarian legal practice could be discerned.</w:t>
      </w:r>
      <w:r>
        <w:rPr>
          <w:color w:val="000000"/>
          <w:sz w:val="24"/>
          <w:szCs w:val="24"/>
        </w:rPr>
        <w:br/>
        <w:t xml:space="preserve">  Finally I will draw the attention to the unification of the two legal institutions.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839408">
    <w:multiLevelType w:val="hybridMultilevel"/>
    <w:lvl w:ilvl="0" w:tplc="245464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839408">
    <w:abstractNumId w:val="1883940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61292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