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KOZÁK ENIKŐ</w:t>
            </w:r>
          </w:p>
          <w:p w:rsidR="00C275A3" w:rsidRDefault="00A96AEC" w:rsidP="00C275A3">
            <w:pPr>
              <w:pStyle w:val="Hallgatokepzes"/>
            </w:pPr>
            <w:r>
              <w:t>MTB</w:t>
            </w:r>
            <w:r>
              <w:br/>
            </w:r>
            <w:r w:rsidR="00E77B23">
              <w:t>BA, 5.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Rácz Zoltán, PHD</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Unemployment in the European Union and Hungary</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450" w:right="0"/>
        <w:jc w:val="left"/>
      </w:pPr>
      <w:r>
        <w:rPr>
          <w:color w:val="000000"/>
          <w:sz w:val="24"/>
          <w:szCs w:val="24"/>
        </w:rPr>
        <w:br/>
        <w:t xml:space="preserve">Unemployment is one of the most serious social problems is the modern world. The employment policy of the European Union has made great progress in combating and solving this serious issue. It was only after the change int he political regime in Hungary that the country regulated employment, as well as its substantive and procedural law issues. Following the EU accession great emphasis was laid on the tools of labour market and, after the change in the government, on public employment.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074580">
    <w:multiLevelType w:val="hybridMultilevel"/>
    <w:lvl w:ilvl="0" w:tplc="663713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074580">
    <w:abstractNumId w:val="140745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76286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