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BIANKA ENIKŐ</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Szilágyi János Ede</w:t>
            </w:r>
          </w:p>
          <w:p w:rsidR="00DB4822" w:rsidRDefault="00DB4822" w:rsidP="009763E0">
            <w:pPr>
              <w:pStyle w:val="Konzulensektitulus"/>
            </w:pPr>
            <w:r w:rsidRPr="00DB4822">
              <w:t>egyetemi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"Zsebszerződések" -A mezőgazdaságiföldek tulajdonjogának megszerzését vagy használatát korlátozó jogszabályi rendelkezések kijátszására irányuló jogügyletek, és a naturalis obligatio kapcsolata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mező- és erdőgazdasági földek az agrárgazdaság nélkülözhetetlen termelőeszközei; a mező- illetve erdőgazdálkodás alapvető termelési tényezői; viszont a mezőgazdasági földterület nagysága napjainkban egyre csökken – ez csak néhány azon indokok közül, amelyek a mezőgazdasági föld védelmét szolgáló jogszabályi rendelkezések szükségességét alátámasztják. Részben ezen indoklás miatt tartalmazott az 1994. évi LV. törvény a termőföldek megszerzését, illetve használatát korlátozó rendelkezéseket. Azonban mivel ezek az előírások nem feleltek meg az uniós kritériumoknak, Magyarországnak e területen is harmonizálnia kellett nemzeti szabályozását az uniós joggal és egyenlő feltételeket kellett biztosítania a mezőgazdasági földek tulajdonának megszerzésében külföldiek és belföldiek számára egyaránt. A moratórium ebben az évben járt le. Az említett korlátozások megkerülése, kijátszása érdekében azonban az elmúlt években számos (színlelt) jogügyletet kötöttek. A közbeszédben ezeket 'zsebszerződéseknek´ nevezik.</w:t>
      </w:r>
      <w:r>
        <w:rPr>
          <w:color w:val="000000"/>
          <w:sz w:val="24"/>
          <w:szCs w:val="24"/>
        </w:rPr>
        <w:br/>
        <w:t xml:space="preserve">Dolgozatomban többek között arra keresek választ, hogy mit is értünk 'zsebszerződések´ alatt. Milyen formában jöttek, jönnek ezek létre? Már az elnevezésből is kitűnik, hogy e szerződések egyik jellemzője a látencia, ugyanis jó részük valóban 'a felek zsebében marad´. Ezért fontos kérdés, hogy felderíthető-e egyáltalán ezek létezése, és ha igen, akkor hogyan. Kérdéses, hogy az uniós előírásokat is figyelembe véve milyen módokon lehet fellépni ellenük, milyen jogi konstrukciókkal lehet ezek terjedését megakadályozni. Az efféle jogügyletek kezelhetőek-e naturalis obligatioként? Milyen problémákat vet fel ezek létezése?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21256">
    <w:multiLevelType w:val="hybridMultilevel"/>
    <w:lvl w:ilvl="0" w:tplc="24908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21256">
    <w:abstractNumId w:val="37521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379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