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ENIKŐ KOCSIS</w:t>
            </w:r>
          </w:p>
          <w:p w:rsidR="00C275A3" w:rsidRDefault="00A96AEC" w:rsidP="00C275A3">
            <w:pPr>
              <w:pStyle w:val="Hallgatokepzes"/>
            </w:pPr>
            <w:r>
              <w:t>juris doctor</w:t>
            </w:r>
            <w:r>
              <w:br/>
            </w:r>
            <w:r w:rsidR="00E77B23">
              <w:t>Unified, 9. semester</w:t>
            </w:r>
          </w:p>
          <w:p w:rsidR="00C265CE" w:rsidRPr="009E5FF1" w:rsidRDefault="00E77B23" w:rsidP="009763E0">
            <w:pPr>
              <w:pStyle w:val="Hallgatointezmeny-kar"/>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Ede Szilágyi PhD</w:t>
            </w:r>
          </w:p>
          <w:p w:rsidR="00DB4822" w:rsidRDefault="00DB4822" w:rsidP="009763E0">
            <w:pPr>
              <w:pStyle w:val="Konzulensektitulus"/>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`Fraudulent contracts´ – Relationship between legal transactions aiming at evasion of laws limiting acquisition or usage of agricultural land ownership and the naturalis obligatio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Agricultural lands are necessary means of production of agro-economy; basic factors of production in forestry and agriculture; however size of agricultural lands has been decreasing nowadays – these are just a few of the reasons supporting necessity of laws aiming at protection of agricultural lands. Inter alia these reasons induced that Act LV. of 1994 on Arable Lands had provisions limiting acquisition and usage of agricultural lands. However this ruling was not in accordance with EU criteria, hence Hungary had to harmonize its national laws with EU law in this field, and it had to provide equal terms in agricultural land ownership acquisition to natives and foreigners. The moratorium expired in this year. Nevertheless several false transactions have been concluded in recent years in order to evasion of aforementioned limitations. With an everyday expression these are the 'fraudulent contracts´.</w:t>
      </w:r>
      <w:r>
        <w:rPr>
          <w:color w:val="000000"/>
          <w:sz w:val="24"/>
          <w:szCs w:val="24"/>
        </w:rPr>
        <w:br/>
        <w:t xml:space="preserve">In my essay I will answer that what does 'fraudulent contract´ mean. In which form came or come they into existence? According to their Hungarian name 'zsebszerződések´ (which literally means 'pocket contracts´) it is obvious, that latency is one of the features of these transactions, because the rest of them are actually 'kept in the pocket of the parties´. Therefore it is an important question that are they could be explored – and how could they be explored. It is problematic that (in harmony with the EU law) how could be stopped the expansion of them. Could these transactions be treated as naturalis obligatio? What kinds of problems are caused by their existence?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41433">
    <w:multiLevelType w:val="hybridMultilevel"/>
    <w:lvl w:ilvl="0" w:tplc="98481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41433">
    <w:abstractNumId w:val="83141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259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