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POÓR ILDIKÓ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jános Ede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Jut-e dohány a dohányra? -avagy a vertikum léte a Közös Agrárpolitika új időszakában, jogi szemmel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 Agrárpolitika 2014-2020 közötti időszaka egy teljesen új szabályrendszert vezetett be valamennyi tagállam agráriumában. A változás a dohányágazatot igen sérülékenyen érintette, hiszen a korábban különleges támogatásként (73/2009/EK rendelet 68. cikk) definiált szerkezetátalakítási programot (29/2010 (III. 30.) FVM) az Európai Unió már nem biztosítja a szektor részére. A döntés csapásként hatott az ágazat szereplőire, és megkérdőjeleződött annak további léte. A Földművelésügyi Minisztérium látván azonban a foglalkoztatást is segítő támogatás fontosságát, hazai forrásból kívánja biztosítani az EU által már nem finanszírozott forrásokat.</w:t>
      </w:r>
      <w:r>
        <w:rPr>
          <w:color w:val="000000"/>
          <w:sz w:val="24"/>
          <w:szCs w:val="24"/>
        </w:rPr>
        <w:br/>
        <w:t xml:space="preserve">Dolgozatom első részében bemutatásra került a dohányágazatban biztosított piacszabályozási támogatások rendszere a KAP előző időszakában. Ezt követően arra a kérdésre kívántam válaszolni, hogy milyen szempontok kerültek figyelembe véve illetve milyen folyamat vezetett az ágazat ezt követő mellőzöttségéhez.</w:t>
      </w:r>
      <w:r>
        <w:rPr>
          <w:color w:val="000000"/>
          <w:sz w:val="24"/>
          <w:szCs w:val="24"/>
        </w:rPr>
        <w:br/>
        <w:t xml:space="preserve">A jelenlegi helyzet ismertetése után pedig rátértem annak a hangsúlyos problémának a megtárgyalására, hogy milyen alternatívákkal lehetne biztosítani hazai forrásból a támogatást, és hogy ezek a lehetőségek megfelelnek-e az uniós jogi előírásoknak, jogszabályoknak esetlegesen nem áll-e fenn összeütközés a hazai szabályok és az uniós joganyag között?</w:t>
      </w:r>
      <w:r>
        <w:rPr>
          <w:color w:val="000000"/>
          <w:sz w:val="24"/>
          <w:szCs w:val="24"/>
        </w:rPr>
        <w:br/>
        <w:t xml:space="preserve">A dolgozatom zárásaként pedig az Európai Bíróság gyakorlatából ismertetek olyan estet, ahol az állami támogatás volt a per tárgya. Ennek ismeretében pedig joghallgatóként megpróbáltam értékelni, hogy a még formálódó hazai támogatási rendszer megfelel-e a KAP szabályrendszere által kijelölt keretben.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39063">
    <w:multiLevelType w:val="hybridMultilevel"/>
    <w:lvl w:ilvl="0" w:tplc="75195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39063">
    <w:abstractNumId w:val="30539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558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