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MAJOROS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Barta</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„Its smoke is bigger than the flame” or the Regulation on the Liability of Executive Officers in the New Hungarian Civil Code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are still learning it” – say the lawyers about the new Hungarian Civil Code. Lawyers, who have been applying the private law Code for several decades. They know not only the structure, but the content and the logic of the code as well. What are the Hungarian lawyers learning? The new Hungarian Civil Code is an important milestone in the history of the Hungarian private law. The new Code has widened. It has eight books; within company law and family law appear in a separate book, which is probably one of the most „eye-catching” changes introduced by the new Code. It will be difficult to get used to the new structure, the signing of the new legal provisions, but mostly to the many changes and novelties.</w:t>
      </w:r>
    </w:p>
    <w:p>
      <w:pPr>
        <w:widowControl w:val="on"/>
        <w:pBdr/>
        <w:spacing w:before="240" w:after="240" w:line="240" w:lineRule="auto"/>
        <w:ind w:left="0" w:right="0"/>
        <w:jc w:val="left"/>
      </w:pPr>
      <w:r>
        <w:rPr>
          <w:color w:val="000000"/>
          <w:sz w:val="24"/>
          <w:szCs w:val="24"/>
        </w:rPr>
        <w:br/>
        <w:t xml:space="preserve">This study concentrates on the company law, especially on the provisions on the liability of the executive officers. These rules were already hardly criticized before its coming into effect. The new rules on the liability of the executive officers were often wrongly interpreted by not only the press, but the lawyers. The problem was basically the correct defining of the delictual liability of the executive officers, which emerges during the existence of the company against third persons. There were a lot of misconceptions to read. The study tries to light the correct interpretation.</w:t>
      </w:r>
    </w:p>
    <w:p>
      <w:pPr>
        <w:widowControl w:val="on"/>
        <w:pBdr/>
        <w:spacing w:before="240" w:after="240" w:line="240" w:lineRule="auto"/>
        <w:ind w:left="0" w:right="0"/>
        <w:jc w:val="left"/>
      </w:pPr>
      <w:r>
        <w:rPr>
          <w:color w:val="000000"/>
          <w:sz w:val="24"/>
          <w:szCs w:val="24"/>
        </w:rPr>
        <w:br/>
        <w:t xml:space="preserve">The study deals with two directions of the liability of the executive officers: on the one hand, with the liability against the company and with the delictual liability during the existence of the company against third person, one the other hand. In the prior case the new Code’s contractual liability provisions are applicable; in the latter case special delictual liability rules shall be applied, which are regulated within the provisions on the liability for the tort of another person.</w:t>
      </w:r>
    </w:p>
    <w:p>
      <w:pPr>
        <w:widowControl w:val="on"/>
        <w:pBdr/>
        <w:spacing w:before="240" w:after="240" w:line="240" w:lineRule="auto"/>
        <w:ind w:left="0" w:right="0"/>
        <w:jc w:val="left"/>
      </w:pPr>
      <w:r>
        <w:rPr>
          <w:color w:val="000000"/>
          <w:sz w:val="24"/>
          <w:szCs w:val="24"/>
        </w:rPr>
        <w:br/>
        <w:t xml:space="preserve">How can the delictual and contractual liability be separated in the new Code? How can be the second one applied in the company law? What is the extent of the liability of the executive officer in case of torts against third person? Why not difficult is the defining of the joint liability of the executive officer and the company? The study concerns on the introduction of the changes, which emerged in the liability system and intends to point out their neuralgic aspects in order to getting answers for the above mentioned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75072">
    <w:multiLevelType w:val="hybridMultilevel"/>
    <w:lvl w:ilvl="0" w:tplc="70593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75072">
    <w:abstractNumId w:val="97075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030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