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ZSOFIA SZABO</w:t>
            </w:r>
          </w:p>
          <w:p w:rsidR="00C275A3" w:rsidRDefault="00A96AEC" w:rsidP="00C275A3">
            <w:pPr>
              <w:pStyle w:val="Hallgatokepzes"/>
            </w:pPr>
            <w:r>
              <w:t>Faculty of Law</w:t>
            </w:r>
            <w:r>
              <w:br/>
            </w:r>
            <w:r w:rsidR="00E77B23">
              <w:t>Unified, 9. semester</w:t>
            </w:r>
          </w:p>
          <w:p w:rsidR="00C265CE" w:rsidRPr="009E5FF1" w:rsidRDefault="00E77B23" w:rsidP="00C275A3">
            <w:pPr>
              <w:pStyle w:val="Hallgatokepzes"/>
              <w:rPr>
                <w:b/>
                <w:caps/>
              </w:rPr>
            </w:pPr>
            <w:r>
              <w:t>University of Miskolc</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Judit Barta PhD </w:t>
            </w:r>
          </w:p>
          <w:p w:rsidR="00DB4822" w:rsidRDefault="00DB4822" w:rsidP="00E11062">
            <w:pPr>
              <w:pStyle w:val="Konzulensek"/>
            </w:pPr>
            <w:r w:rsidRPr="00DB4822">
              <w:t>associate professor, ME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New tunes in the old melody: Common rules of service agreements in the New Civil Code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new Civil Code reformed the rules of the undertaking contracts. Some provisions were infiltrated in the privity common rules, other provisions infiltrated from the subtypes to the common rules of the undertaking contracts and also others totally disappeared. The system and the number of the subtypes were changed, in spite of the contraction of the building and collar subtypes, their numbers were grown. We can also meet new and old tunes among the common rules. Beside the matter of Civil Code, the public law regulation is getting more emphatic role. In recent years, the public law regulation(which was created by the privy portfolio, ministry for home affairs) shot ahead on this area and got into the area of civil law and ripped out the substantive part from the legal instruments which was regularized by the Civil Code before. The ministry grabbed itself the baton, it decreased about tierce the rules of the undertaking contracts in the new Civil Code. However the ministry increased multiple the civil law regulations which are in the public law rules, hereby it created a multilevel and incoherent legal rules: Civil Code, acts of public law and government statute. The aim of my dissertation is to introduce these changes, analyse in detail the newnesses, examine in what extent hiding the thought-out judicial practice behind the changes and to examine the Civil Code and the public law rules relation and nesting to each other.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994179">
    <w:multiLevelType w:val="hybridMultilevel"/>
    <w:lvl w:ilvl="0" w:tplc="658482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994179">
    <w:abstractNumId w:val="4099417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100451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