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PAPP</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Kégl</w:t>
            </w:r>
          </w:p>
          <w:p w:rsidR="00DB4822" w:rsidRDefault="00DB4822" w:rsidP="00E11062">
            <w:pPr>
              <w:pStyle w:val="Konzulensek"/>
            </w:pPr>
            <w:r w:rsidRPr="00DB4822">
              <w:t>senior 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Fine tuning of electronic properties in Pt-containing hydroformylation catalysts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hydroformylation; reaction mechanism; NBO; electrostatic potential; olefin insertion</w:t>
      </w:r>
      <w:r>
        <w:t xml:space="preserve"/>
      </w:r>
    </w:p>
    <w:p>
      <w:pPr>
        <w:widowControl w:val="on"/>
        <w:pBdr/>
        <w:spacing w:before="240" w:after="240" w:line="240" w:lineRule="auto"/>
        <w:ind w:left="0" w:right="0"/>
        <w:jc w:val="left"/>
      </w:pPr>
      <w:r>
        <w:rPr>
          <w:color w:val="000000"/>
          <w:sz w:val="24"/>
          <w:szCs w:val="24"/>
        </w:rPr>
        <w:drawing>
          <wp:inline distT="0" distB="0" distL="0" distR="0">
            <wp:extent cx="10058400" cy="2916000"/>
            <wp:docPr id="62193545" name="name1547f93825db75" descr="imgtmp_3142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427_int_1.gif"/>
                    <pic:cNvPicPr/>
                  </pic:nvPicPr>
                  <pic:blipFill>
                    <a:blip r:embed="rId1547f93825db1e" cstate="print"/>
                    <a:stretch>
                      <a:fillRect/>
                    </a:stretch>
                  </pic:blipFill>
                  <pic:spPr>
                    <a:xfrm>
                      <a:off x="0" y="0"/>
                      <a:ext cx="10058400" cy="2916000"/>
                    </a:xfrm>
                    <a:prstGeom prst="rect">
                      <a:avLst/>
                    </a:prstGeom>
                    <a:ln w="0">
                      <a:noFill/>
                    </a:ln>
                  </pic:spPr>
                </pic:pic>
              </a:graphicData>
            </a:graphic>
          </wp:inline>
        </w:drawing>
      </w:r>
      <w:r>
        <w:rPr>
          <w:color w:val="000000"/>
          <w:sz w:val="24"/>
          <w:szCs w:val="24"/>
        </w:rPr>
        <w:t xml:space="preserve">The various electronic effects of ligands in the olefin insertion step of platinum-catalyzed hydroformylation has been investigated by means of density functional theory employing the PBEPBE functional in combination with the SMD solvation model. In order to get a deeper insight about the electronic effects which govern the rate and selectivity of the reaction the influence of the olefin substrate, de role of the phosphine ligands, as well as that of the trihalidostannate has been elucidated by simple model complexes and by their reactivity.</w:t>
      </w:r>
    </w:p>
    <w:p>
      <w:pPr>
        <w:widowControl w:val="on"/>
        <w:pBdr/>
        <w:spacing w:before="240" w:after="240" w:line="240" w:lineRule="auto"/>
        <w:ind w:left="0" w:right="0"/>
        <w:jc w:val="left"/>
      </w:pPr>
      <w:r>
        <w:rPr>
          <w:color w:val="000000"/>
          <w:sz w:val="24"/>
          <w:szCs w:val="24"/>
        </w:rPr>
        <w:t xml:space="preserve">The electronic influence of the olefin substrate was modeled by computing the bonding energy of para-substituted styrenes with the Pt-hydride model compound, as well as the free energy of activation for the olefin insertion step, which is depicted in the following figure:</w:t>
      </w:r>
    </w:p>
    <w:p>
      <w:pPr>
        <w:widowControl w:val="on"/>
        <w:pBdr/>
        <w:spacing w:before="240" w:after="240" w:line="240" w:lineRule="auto"/>
        <w:ind w:left="0" w:right="0"/>
        <w:jc w:val="left"/>
      </w:pPr>
      <w:r>
        <w:rPr>
          <w:color w:val="000000"/>
          <w:sz w:val="24"/>
          <w:szCs w:val="24"/>
        </w:rPr>
        <w:t xml:space="preserve">The impact of phosphines upon the ethylene insertion barrier has been studied by fine tuning their electron withdrawing properties. Moderately electron withdrawing substituents on phosphorous atoms result in a notably lower barrier in contrast to methyl or trifluoromethyl groups.</w:t>
      </w:r>
    </w:p>
    <w:p>
      <w:pPr>
        <w:widowControl w:val="on"/>
        <w:pBdr/>
        <w:spacing w:before="240" w:after="240" w:line="240" w:lineRule="auto"/>
        <w:ind w:left="0" w:right="0"/>
        <w:jc w:val="left"/>
      </w:pPr>
      <w:r>
        <w:rPr>
          <w:color w:val="000000"/>
          <w:sz w:val="24"/>
          <w:szCs w:val="24"/>
        </w:rPr>
        <w:t xml:space="preserve">The role of the trihalostannate co-catalysts has been elucidated employing various quantum chemical tools such as Charge Decomposition Analysis (CDA), Atoms In Molecules (AIM), and Domain Averaged Fermi Holes (DAFH). In contrast to the previous assumption, the trichlorostannate ligand was found as moderate s-donor, and weak p-acceptor. For the electronic properties fairly strong dependence on the polarity of the solvent has been found emphasizing the importance of the inclusion of solvent effects in quantum chemical calculations on transition metal complexes.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84815">
    <w:multiLevelType w:val="hybridMultilevel"/>
    <w:lvl w:ilvl="0" w:tplc="29665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84815">
    <w:abstractNumId w:val="31484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371938" Type="http://schemas.openxmlformats.org/officeDocument/2006/relationships/numbering" Target="numbering.xml"/><Relationship Id="rId1547f93825db1e" Type="http://schemas.openxmlformats.org/officeDocument/2006/relationships/image" Target="media/imgrId1547f93825db1e.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