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ÉVA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Czibulya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 peremen karboxil-csoportot tartalmazó kavitand származék - kávésav kölcsönhatásának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'gazda-vendég' komplexképződés; fluoreszcencia spektroszkópia; spektrofotometria; termodinamikai paraméterek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kavitandok üregekkel rendelkező, vendégmolekulák befogadására képes gazdamolekulák; melyek ígéretesnek mutatkoznak gázszenzorként, fluoreszcens nanoreaktorként vagy akár molekuláris kapszulaként való alkalmazásra.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Az általunk vizsgált vendég molekula, a kávésav egy gyakori gyógyhatású készítményekben is használatos polifenol. 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Mivel a kávésav számos mezőgazdasági termékben (pl. gyümölcsök, borok,</w:t>
      </w:r>
      <w:r>
        <w:rPr>
          <w:color w:val="000000"/>
          <w:position w:val="4"/>
          <w:sz w:val="21"/>
          <w:szCs w:val="21"/>
          <w:vertAlign w:val="superscript"/>
        </w:rPr>
        <w:t xml:space="preserve">3,4</w:t>
      </w:r>
      <w:r>
        <w:rPr>
          <w:color w:val="000000"/>
          <w:sz w:val="24"/>
          <w:szCs w:val="24"/>
        </w:rPr>
        <w:t xml:space="preserve"> kávé) is fellelhető antioxidáns, fontos, hogy minél érzékenyebb és szelektívebb eszközök álljanak rendelkezésre e vegyületek monitorozására. A lehetséges szenzorkémiai alkalmazások érdekében a kavitand és kávésav molekulák kölcsönhatását UV/Vis- és fluoreszcencia spektroszkópia segítségével tanulmányoztuk elektrokémiai szenzorok készítésekor elterjedten használatos oldószerelegyekben. Az abszorpciós spektrumok hőmérsékletfüggését vizsgálva, a Hyperquad programcsomaggal meghatározott egyensúlyi állandók értékeiből a van’t Hoff egyelet alapján meghatározott termodinamikai paraméterek</w:t>
      </w:r>
      <w:r>
        <w:rPr>
          <w:color w:val="000000"/>
          <w:position w:val="4"/>
          <w:sz w:val="21"/>
          <w:szCs w:val="21"/>
          <w:vertAlign w:val="superscript"/>
        </w:rPr>
        <w:t xml:space="preserve">5,6</w:t>
      </w:r>
      <w:r>
        <w:rPr>
          <w:color w:val="000000"/>
          <w:sz w:val="24"/>
          <w:szCs w:val="24"/>
        </w:rPr>
        <w:t xml:space="preserve"> 1:2 sztöchiometriájú komplex kialakulását valószínűsítik, melyet a Job módszerrel végzett méréseink is megerősítettek. Kimutattuk, hogy a komplexképződési folyamat entrópia vezérelt, ez összhangban van azzal, hogy a Job görbék nagyon kis hőmérsékletfüggés mutatnak. A fluorimetriás mérések során mind a kávésav dimerizáció, mind pedig az 1:2 sztöchiometriájú komplexek kialakulása megerősítést nyert, továbbá a nagyobb érzékenysége miatt a fluoreszcenciás módszerrel az 1:1 sztöchiometriájú komplexek jelenlétét is sikerült kimutatni. A termodinamikai paramétereket a spektrofotometriás méréseknél alkalmazott módszerekkel határoztuk meg. Eredményeink alapján elmondható, hogy az 1:2 sztöchiometriájú kavitand : kávésav komplex kialakulása valószínűbbnek mutatkozik az 1:1 sztöchiometriájú komplex kialakulásánál, valamint, hogy mind a kávésav dimerizációja mind az 1:2 komplexképződés folyamata entrópia vezérelt. Az, hogy a komplexképződést a kávésav dimerek kialakulása megelőzi-e, vagy a kávésav molekulák egyesével kapcsolódnak-e a kavitandhoz, további vizsgálatokat igényel. A koordináció helyére vonatkozóan szintén folynak kísérletek.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Zs. Csók et al., Tetrahedron, 2012, 68, 2657-2661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</w:t>
      </w:r>
      <w:r>
        <w:rPr>
          <w:color w:val="000000"/>
          <w:sz w:val="24"/>
          <w:szCs w:val="24"/>
        </w:rPr>
        <w:t xml:space="preserve">E. M. Marinova et al., Food Chemistry, 2009, 114, 1498–1502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3</w:t>
      </w:r>
      <w:r>
        <w:rPr>
          <w:color w:val="000000"/>
          <w:sz w:val="24"/>
          <w:szCs w:val="24"/>
        </w:rPr>
        <w:t xml:space="preserve">Zs. Czibulya et al., Food Research International, 2012, 45 , 272-276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4</w:t>
      </w:r>
      <w:r>
        <w:rPr>
          <w:color w:val="000000"/>
          <w:sz w:val="24"/>
          <w:szCs w:val="24"/>
        </w:rPr>
        <w:t xml:space="preserve">Zs. Czibulya et al., Journal of Food Science, 2012, 77, 880-885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5</w:t>
      </w:r>
      <w:r>
        <w:rPr>
          <w:color w:val="000000"/>
          <w:sz w:val="24"/>
          <w:szCs w:val="24"/>
        </w:rPr>
        <w:t xml:space="preserve">M. Poór et al., Journal of Luminescence, 2014, 135, 276–280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6</w:t>
      </w:r>
      <w:r>
        <w:rPr>
          <w:color w:val="000000"/>
          <w:sz w:val="24"/>
          <w:szCs w:val="24"/>
        </w:rPr>
        <w:t xml:space="preserve">M. Poór et al., Food Chemistry, 2015, 172,149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20178">
    <w:multiLevelType w:val="hybridMultilevel"/>
    <w:lvl w:ilvl="0" w:tplc="98375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20178">
    <w:abstractNumId w:val="68820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810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