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HORVÁTH</w:t>
            </w:r>
          </w:p>
          <w:p w:rsidR="00C275A3" w:rsidRDefault="00A96AEC" w:rsidP="00C275A3">
            <w:pPr>
              <w:pStyle w:val="Hallgatokepzes"/>
            </w:pPr>
            <w:r>
              <w:t>Chemistry</w:t>
            </w:r>
            <w:r>
              <w:br/>
            </w:r>
            <w:r w:rsidR="00E77B23">
              <w:t>BSc, 7. semester</w:t>
            </w:r>
          </w:p>
          <w:p w:rsidR="00C265CE" w:rsidRPr="009E5FF1" w:rsidRDefault="00E77B23" w:rsidP="00BA6BAF">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Zsuzsanna Czibulya</w:t>
            </w:r>
          </w:p>
          <w:p w:rsidR="00DB4822" w:rsidRDefault="00DB4822" w:rsidP="00BA6BAF">
            <w:pPr>
              <w:pStyle w:val="Konzulensektitulus"/>
            </w:pPr>
            <w:r w:rsidRPr="00DB4822">
              <w:t>research fellow,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interaction of caffeic acid molecules with a cavitand derivative which possessing carboxyl group at the upper rim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host-guest complexation; spectrofluorimetry; spectrophotometry; thermodynamic parameters</w:t>
      </w:r>
      <w:r>
        <w:t xml:space="preserve"/>
      </w:r>
    </w:p>
    <w:p>
      <w:pPr>
        <w:widowControl w:val="on"/>
        <w:pBdr/>
        <w:spacing w:before="240" w:after="240" w:line="240" w:lineRule="auto"/>
        <w:ind w:left="0" w:right="0"/>
        <w:jc w:val="left"/>
      </w:pPr>
      <w:r>
        <w:rPr>
          <w:color w:val="000000"/>
          <w:sz w:val="24"/>
          <w:szCs w:val="24"/>
        </w:rPr>
        <w:t xml:space="preserve">Cavitands are host molecules containing cavities, which are able to receive guest molecules with appropriate sizes. They seem to be promising compounds for applying as a gas sensor, fluorescence nanoreactor or molecular capsule.</w:t>
      </w:r>
      <w:r>
        <w:rPr>
          <w:color w:val="000000"/>
          <w:position w:val="4"/>
          <w:sz w:val="21"/>
          <w:szCs w:val="21"/>
          <w:vertAlign w:val="superscript"/>
        </w:rPr>
        <w:t xml:space="preserve">1</w:t>
      </w:r>
      <w:r>
        <w:rPr>
          <w:color w:val="000000"/>
          <w:sz w:val="24"/>
          <w:szCs w:val="24"/>
        </w:rPr>
        <w:t xml:space="preserve"> Caffeic acid, the guest molecule investigated by us is a polyphenol molecule commonly used as curative agent.</w:t>
      </w:r>
      <w:r>
        <w:rPr>
          <w:color w:val="000000"/>
          <w:position w:val="4"/>
          <w:sz w:val="21"/>
          <w:szCs w:val="21"/>
          <w:vertAlign w:val="superscript"/>
        </w:rPr>
        <w:t xml:space="preserve">2</w:t>
      </w:r>
      <w:r>
        <w:rPr>
          <w:color w:val="000000"/>
          <w:sz w:val="24"/>
          <w:szCs w:val="24"/>
        </w:rPr>
        <w:t xml:space="preserve"> As it is an antioxidant presented in several agricultural products (as wines</w:t>
      </w:r>
      <w:r>
        <w:rPr>
          <w:color w:val="000000"/>
          <w:position w:val="4"/>
          <w:sz w:val="21"/>
          <w:szCs w:val="21"/>
          <w:vertAlign w:val="superscript"/>
        </w:rPr>
        <w:t xml:space="preserve">3,4</w:t>
      </w:r>
      <w:r>
        <w:rPr>
          <w:color w:val="000000"/>
          <w:sz w:val="24"/>
          <w:szCs w:val="24"/>
        </w:rPr>
        <w:t xml:space="preserve">) it became an important task to develop a sensitive sensor for its monitoring. With the aim to apply the cavitands as chemical sensor, the interaction of the cavitand and caffeic acid molecules was investigated by UV - Vis and fluorescence spectroscopy in solvent mixtures widely used in electrochemical sensor layers. Using the temperature dependence of the absorption spectra, the equilibrium constants were determined by the Hyperquad software, then the thermodynamic parameters were calculated by the van’t Hoff equation.</w:t>
      </w:r>
      <w:r>
        <w:rPr>
          <w:color w:val="000000"/>
          <w:position w:val="4"/>
          <w:sz w:val="21"/>
          <w:szCs w:val="21"/>
          <w:vertAlign w:val="superscript"/>
        </w:rPr>
        <w:t xml:space="preserve">5,6</w:t>
      </w:r>
      <w:r>
        <w:rPr>
          <w:color w:val="000000"/>
          <w:sz w:val="24"/>
          <w:szCs w:val="24"/>
        </w:rPr>
        <w:t xml:space="preserve"> Formation of 1:2 complex was presumed, then confirmed by the Job’s plots. The thermodynamic parameters showed that the process is entropy controlled; this could also been proved by the Job’s plots according to its very weak dependence on the temperature.</w:t>
      </w:r>
      <w:r>
        <w:rPr>
          <w:color w:val="000000"/>
          <w:sz w:val="24"/>
          <w:szCs w:val="24"/>
        </w:rPr>
        <w:br/>
        <w:t xml:space="preserve">Studying the results of fluorescence spectra it was shown, that in excited state even caffeic acid dimerization and the formation of 1:1 and 1:2 complexes have considerable probability. The thermodynamic parameters were determined as mentioned above. Due to its high sensitivity the PL method were able to confirm presence of complexes with 1:1 stoichiometry too, however formation of 1:1 complexes are much less probable compared to the formation of that with 1:2 stoichiometry. Results also show that both the caffeic acid dimerization and the formation of 1:2 complexes are controlled by the entropy gain. However, question remained how the formation of the 1:2 complexes is performed: dimmers of caffeic acid molecules or the individual caffeic acid molecules step by step are coordinated to the host cavitand molecule. Further investigations are in progress to clarify the binding sites of the cavitands and the formation mechanism.</w:t>
      </w:r>
    </w:p>
    <w:p>
      <w:pPr>
        <w:widowControl w:val="on"/>
        <w:pBdr/>
        <w:spacing w:before="240" w:after="240" w:line="240" w:lineRule="auto"/>
        <w:ind w:left="0" w:right="0"/>
        <w:jc w:val="left"/>
      </w:pPr>
      <w:r>
        <w:rPr>
          <w:color w:val="000000"/>
          <w:position w:val="4"/>
          <w:sz w:val="21"/>
          <w:szCs w:val="21"/>
          <w:vertAlign w:val="superscript"/>
        </w:rPr>
        <w:br/>
        <w:t xml:space="preserve">1</w:t>
      </w:r>
      <w:r>
        <w:rPr>
          <w:color w:val="000000"/>
          <w:sz w:val="24"/>
          <w:szCs w:val="24"/>
        </w:rPr>
        <w:t xml:space="preserve">Zs. Csók et al., Tetrahedron, 2012, 68, 2657-2661</w:t>
      </w:r>
      <w:r>
        <w:rPr>
          <w:color w:val="000000"/>
          <w:position w:val="4"/>
          <w:sz w:val="21"/>
          <w:szCs w:val="21"/>
          <w:vertAlign w:val="superscript"/>
        </w:rPr>
        <w:br/>
        <w:t xml:space="preserve">2</w:t>
      </w:r>
      <w:r>
        <w:rPr>
          <w:color w:val="000000"/>
          <w:sz w:val="24"/>
          <w:szCs w:val="24"/>
        </w:rPr>
        <w:t xml:space="preserve">E. M. Marinova et al., Food Chemistry, 2009, 114, 1498–1502</w:t>
      </w:r>
      <w:r>
        <w:rPr>
          <w:color w:val="000000"/>
          <w:position w:val="4"/>
          <w:sz w:val="21"/>
          <w:szCs w:val="21"/>
          <w:vertAlign w:val="superscript"/>
        </w:rPr>
        <w:br/>
        <w:t xml:space="preserve">3</w:t>
      </w:r>
      <w:r>
        <w:rPr>
          <w:color w:val="000000"/>
          <w:sz w:val="24"/>
          <w:szCs w:val="24"/>
        </w:rPr>
        <w:t xml:space="preserve">Zs. Czibulya et al., Food Research International, 2012, 45 , 272-276</w:t>
      </w:r>
      <w:r>
        <w:rPr>
          <w:color w:val="000000"/>
          <w:position w:val="4"/>
          <w:sz w:val="21"/>
          <w:szCs w:val="21"/>
          <w:vertAlign w:val="superscript"/>
        </w:rPr>
        <w:br/>
        <w:t xml:space="preserve">4</w:t>
      </w:r>
      <w:r>
        <w:rPr>
          <w:color w:val="000000"/>
          <w:sz w:val="24"/>
          <w:szCs w:val="24"/>
        </w:rPr>
        <w:t xml:space="preserve">Zs. Czibulya et al., Journal of Food Science, 2012, 77, 880-885</w:t>
      </w:r>
      <w:r>
        <w:rPr>
          <w:color w:val="000000"/>
          <w:position w:val="4"/>
          <w:sz w:val="21"/>
          <w:szCs w:val="21"/>
          <w:vertAlign w:val="superscript"/>
        </w:rPr>
        <w:br/>
        <w:t xml:space="preserve">5</w:t>
      </w:r>
      <w:r>
        <w:rPr>
          <w:color w:val="000000"/>
          <w:sz w:val="24"/>
          <w:szCs w:val="24"/>
        </w:rPr>
        <w:t xml:space="preserve">M. Poór et al., Journal of Luminescence, 2014, 135, 276–280</w:t>
      </w:r>
      <w:r>
        <w:rPr>
          <w:color w:val="000000"/>
          <w:position w:val="4"/>
          <w:sz w:val="21"/>
          <w:szCs w:val="21"/>
          <w:vertAlign w:val="superscript"/>
        </w:rPr>
        <w:br/>
        <w:t xml:space="preserve">6</w:t>
      </w:r>
      <w:r>
        <w:rPr>
          <w:color w:val="000000"/>
          <w:sz w:val="24"/>
          <w:szCs w:val="24"/>
        </w:rPr>
        <w:t xml:space="preserve">M. Poór et al., Food Chemistry, 2015, 172,149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285379">
    <w:multiLevelType w:val="hybridMultilevel"/>
    <w:lvl w:ilvl="0" w:tplc="747636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285379">
    <w:abstractNumId w:val="272853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73624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