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SZUROCZKI PÉTER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Kégl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Nitroxidokkal és elővegyületeikkel módosított PARP inhibitorok szintézise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N-heterociklus;gyűrűzárás;palládium-katalizált;réz-katalizált;paramágneses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poli(ADP-ribóz) polimeráz-1 (PARP-1) valamennyi eukarióta sejtben megtalálható többfunkciós enzim, melyet a DNS száltörése aktivál. Az enzim nikotinsavamid-adenin-dinukleotid (NAD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hasításával képződő ADP-ribóz egységeket kapcsol a DNS-hez kötött fehérjékhez (hisztonok, topoizomerázok, DNS polimeráz, DNS ligáz és maga a PARP-1). Nagyfokú DNS károsodás esetén az enzim túlműködése a sejt NAD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és ATP készleteinek gyors feléléséhez vezet, melynek eredménye nekrotikus sejthalál lehet.</w:t>
      </w:r>
      <w:r>
        <w:rPr>
          <w:color w:val="000000"/>
          <w:sz w:val="24"/>
          <w:szCs w:val="24"/>
        </w:rPr>
        <w:br/>
        <w:t xml:space="preserve">Az utóbbi évtizedben számos PARP-inhibitort szintetizáltak, amelyek már klinikai tesztelés alatt állnak.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Intézetünkben olyan új benzimidazol- (I) és kinazolin-vázas (II)</w:t>
      </w:r>
      <w:r>
        <w:rPr>
          <w:color w:val="000000"/>
          <w:sz w:val="24"/>
          <w:szCs w:val="24"/>
        </w:rPr>
        <w:br/>
        <w:t xml:space="preserve">PARP-1 inhibitorokat fejlesztettek ki, melyeket nitroxidokkal és elővegyületeikkel módosítottak megnövelve azok hatékonyságát.</w:t>
      </w:r>
      <w:r>
        <w:rPr>
          <w:color w:val="000000"/>
          <w:position w:val="4"/>
          <w:sz w:val="21"/>
          <w:szCs w:val="21"/>
          <w:vertAlign w:val="superscript"/>
        </w:rPr>
        <w:t xml:space="preserve">2,3</w:t>
      </w:r>
      <w:r>
        <w:rPr>
          <w:color w:val="000000"/>
          <w:sz w:val="24"/>
          <w:szCs w:val="24"/>
        </w:rPr>
        <w:t xml:space="preserve"> Dolgozatomban új kinolin- (III)</w:t>
      </w:r>
      <w:r>
        <w:rPr>
          <w:color w:val="000000"/>
          <w:position w:val="4"/>
          <w:sz w:val="21"/>
          <w:szCs w:val="21"/>
          <w:vertAlign w:val="superscript"/>
        </w:rPr>
        <w:t xml:space="preserve">4</w:t>
      </w:r>
      <w:r>
        <w:rPr>
          <w:color w:val="000000"/>
          <w:sz w:val="24"/>
          <w:szCs w:val="24"/>
        </w:rPr>
        <w:t xml:space="preserve">, kinoxalin- (IV), benzimidazol-szulfonamid- (V) és kinazolinon-származékok (VI)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, szintézisét, valamint a szerkezet-hatás összefüggéseiket és a dokkolásos modellszámításokat mutatom be.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74400" cy="2059200"/>
            <wp:docPr id="31046255" name="name154de667cb7e0d" descr="imgtmp_31434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434_hu_1.png"/>
                    <pic:cNvPicPr/>
                  </pic:nvPicPr>
                  <pic:blipFill>
                    <a:blip r:embed="rId154de667cb7d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4400" cy="205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Steffen, J. D.; Brody, J. R.; Armen, R. S.; Pascal, J. M. Frontiers in Oncol. 2013, 3, Article 301.</w:t>
      </w:r>
      <w:r>
        <w:rPr>
          <w:color w:val="000000"/>
          <w:sz w:val="24"/>
          <w:szCs w:val="24"/>
        </w:rPr>
        <w:br/>
        <w:t xml:space="preserve">2. Bartha, É.; Kiss, Gy.; Kalman, E.; Kulcsár, Gy.; Kálai, T.; Hideg, K.; Habon, T. Sümegi, B.;</w:t>
      </w:r>
      <w:r>
        <w:rPr>
          <w:color w:val="000000"/>
          <w:sz w:val="24"/>
          <w:szCs w:val="24"/>
        </w:rPr>
        <w:br/>
        <w:t xml:space="preserve">Tóth, K.; Halmosi, R. J. Cardiovasc. Pharm. 2008, 52, 253.</w:t>
      </w:r>
      <w:r>
        <w:rPr>
          <w:color w:val="000000"/>
          <w:sz w:val="24"/>
          <w:szCs w:val="24"/>
        </w:rPr>
        <w:br/>
        <w:t xml:space="preserve">3. Kálai, T.; Balog, M.; Szabó, A.;, Gulyás, G.; Jekő, J.; Sümegi, B.; Hideg, K. J. Med. Chem. 2009, 52, 1619.</w:t>
      </w:r>
      <w:r>
        <w:rPr>
          <w:color w:val="000000"/>
          <w:sz w:val="24"/>
          <w:szCs w:val="24"/>
        </w:rPr>
        <w:br/>
        <w:t xml:space="preserve">4. Lord, A-M.; Mahon, M. F.; Lloyd, M. D.; Threadgill, M. D. J. Med. Chem. 2009, 52, 868.</w:t>
      </w:r>
      <w:r>
        <w:rPr>
          <w:color w:val="000000"/>
          <w:sz w:val="24"/>
          <w:szCs w:val="24"/>
        </w:rPr>
        <w:br/>
        <w:t xml:space="preserve">5. Kulkarni, S. S.; Singh, S.; Shah, J. R.; Low, W-K; Talele, T. T. Eur. J. Med. Chem. 2012, 50, 264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68601">
    <w:multiLevelType w:val="hybridMultilevel"/>
    <w:lvl w:ilvl="0" w:tplc="4299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68601">
    <w:abstractNumId w:val="39668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121927" Type="http://schemas.openxmlformats.org/officeDocument/2006/relationships/numbering" Target="numbering.xml"/><Relationship Id="rId154de667cb7dae" Type="http://schemas.openxmlformats.org/officeDocument/2006/relationships/image" Target="media/imgrId154de667cb7da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