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SZUROCZKI</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Kálai</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Tímea Kégl</w:t>
            </w:r>
          </w:p>
          <w:p w:rsidR="00DB4822" w:rsidRDefault="00DB4822" w:rsidP="00E11062">
            <w:pPr>
              <w:pStyle w:val="Konzulensek"/>
            </w:pPr>
            <w:r w:rsidRPr="00DB4822">
              <w:t>junior 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study of new PARP inhibitors modified with nitroxides or nitroxid precursors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N-heterocycles;ring-closing;Pd-catalyzed;Cu-catalyzed;paramagnetic</w:t>
      </w:r>
      <w:r>
        <w:t xml:space="preserve"/>
      </w:r>
    </w:p>
    <w:p>
      <w:pPr>
        <w:widowControl w:val="on"/>
        <w:pBdr/>
        <w:spacing w:before="240" w:after="240" w:line="240" w:lineRule="auto"/>
        <w:ind w:left="0" w:right="0"/>
        <w:jc w:val="left"/>
      </w:pPr>
      <w:r>
        <w:rPr>
          <w:color w:val="000000"/>
          <w:sz w:val="24"/>
          <w:szCs w:val="24"/>
        </w:rPr>
        <w:t xml:space="preserve">Poly(ADP-ribose) polymerase-1 is a multifunctional enzyme present in eukaryotic cells and upon activation by a DNA strand break catalyses the transfer of ADP-ribose units from its substrate nicotinamide adenine dinucleotide (NAD</w:t>
      </w:r>
      <w:r>
        <w:rPr>
          <w:color w:val="000000"/>
          <w:position w:val="4"/>
          <w:sz w:val="21"/>
          <w:szCs w:val="21"/>
          <w:vertAlign w:val="superscript"/>
        </w:rPr>
        <w:t xml:space="preserve">+</w:t>
      </w:r>
      <w:r>
        <w:rPr>
          <w:color w:val="000000"/>
          <w:sz w:val="24"/>
          <w:szCs w:val="24"/>
        </w:rPr>
        <w:t xml:space="preserve">) to nuclear acceptor proteins such as histones, topoisomerases, DNA polymerases, DNA ligases and PARP itself. In case of extensive DNA damage PARP-1 overactivation occurs. This leads to a rapid depletion of NAD</w:t>
      </w:r>
      <w:r>
        <w:rPr>
          <w:color w:val="000000"/>
          <w:position w:val="4"/>
          <w:sz w:val="21"/>
          <w:szCs w:val="21"/>
          <w:vertAlign w:val="superscript"/>
        </w:rPr>
        <w:t xml:space="preserve">+</w:t>
      </w:r>
      <w:r>
        <w:rPr>
          <w:color w:val="000000"/>
          <w:sz w:val="24"/>
          <w:szCs w:val="24"/>
        </w:rPr>
        <w:t xml:space="preserve"> and ATP levels resulting in energy crisis and ultimately cell death by necrosis.</w:t>
      </w:r>
      <w:r>
        <w:rPr>
          <w:color w:val="000000"/>
          <w:sz w:val="24"/>
          <w:szCs w:val="24"/>
        </w:rPr>
        <w:br/>
        <w:t xml:space="preserve">PARP-1 enzyme became an attractive therapeutic target, which have fuelled the pursuit of small molecule PARP inhibitors. The design of PARP inhibitors has matured over the past several years resulting in several lead candidates in clinical trials.</w:t>
      </w:r>
      <w:r>
        <w:rPr>
          <w:color w:val="000000"/>
          <w:position w:val="4"/>
          <w:sz w:val="21"/>
          <w:szCs w:val="21"/>
          <w:vertAlign w:val="superscript"/>
        </w:rPr>
        <w:t xml:space="preserve">1</w:t>
      </w:r>
      <w:r>
        <w:rPr>
          <w:color w:val="000000"/>
          <w:sz w:val="24"/>
          <w:szCs w:val="24"/>
        </w:rPr>
        <w:t xml:space="preserve"> In our laboratory we have developed new benzimidazole- (I) and quinazoline-based (II) PARP-1 inhibitors. We found that combination of a PARP-inhibitor molecule and a ROS scavenging pre-nitroxide unit was beneficial.</w:t>
      </w:r>
      <w:r>
        <w:rPr>
          <w:color w:val="000000"/>
          <w:position w:val="4"/>
          <w:sz w:val="21"/>
          <w:szCs w:val="21"/>
          <w:vertAlign w:val="superscript"/>
        </w:rPr>
        <w:t xml:space="preserve">2,3</w:t>
      </w:r>
      <w:r>
        <w:rPr>
          <w:color w:val="000000"/>
          <w:sz w:val="24"/>
          <w:szCs w:val="24"/>
        </w:rPr>
        <w:t xml:space="preserve"> In the present work we report the extension of our study on new quinoline (III)</w:t>
      </w:r>
      <w:r>
        <w:rPr>
          <w:color w:val="000000"/>
          <w:position w:val="4"/>
          <w:sz w:val="21"/>
          <w:szCs w:val="21"/>
          <w:vertAlign w:val="superscript"/>
        </w:rPr>
        <w:t xml:space="preserve">4</w:t>
      </w:r>
      <w:r>
        <w:rPr>
          <w:color w:val="000000"/>
          <w:sz w:val="24"/>
          <w:szCs w:val="24"/>
        </w:rPr>
        <w:t xml:space="preserve">, quinoxaline (IV), benzimidazole sulfonamide (V) and quinazolinone (IV)</w:t>
      </w:r>
      <w:r>
        <w:rPr>
          <w:color w:val="000000"/>
          <w:position w:val="4"/>
          <w:sz w:val="21"/>
          <w:szCs w:val="21"/>
          <w:vertAlign w:val="superscript"/>
        </w:rPr>
        <w:t xml:space="preserve">5</w:t>
      </w:r>
      <w:r>
        <w:rPr>
          <w:color w:val="000000"/>
          <w:sz w:val="24"/>
          <w:szCs w:val="24"/>
        </w:rPr>
        <w:t xml:space="preserve"> derivatives showing the synthetic approaches, preliminary structure-activity investigations and docking.</w:t>
      </w:r>
    </w:p>
    <w:p>
      <w:pPr>
        <w:widowControl w:val="on"/>
        <w:pBdr/>
        <w:spacing w:before="240" w:after="240" w:line="240" w:lineRule="auto"/>
        <w:ind w:left="2250" w:right="0"/>
        <w:jc w:val="left"/>
      </w:pPr>
      <w:r>
        <w:rPr>
          <w:color w:val="000000"/>
          <w:sz w:val="24"/>
          <w:szCs w:val="24"/>
        </w:rPr>
        <w:drawing>
          <wp:inline distT="0" distB="0" distL="0" distR="0">
            <wp:extent cx="3564000" cy="1850400"/>
            <wp:docPr id="45980111" name="name15480031a7924e" descr="imgtmp_3143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434_int_1.gif"/>
                    <pic:cNvPicPr/>
                  </pic:nvPicPr>
                  <pic:blipFill>
                    <a:blip r:embed="rId15480031a791ef" cstate="print"/>
                    <a:stretch>
                      <a:fillRect/>
                    </a:stretch>
                  </pic:blipFill>
                  <pic:spPr>
                    <a:xfrm>
                      <a:off x="0" y="0"/>
                      <a:ext cx="3564000" cy="1850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Steffen, J. D.; Brody, J. R.; Armen, R. S.; Pascal, J. M. Frontiers in Oncol. 2013, 3, Article 301.</w:t>
      </w:r>
      <w:r>
        <w:rPr>
          <w:color w:val="000000"/>
          <w:sz w:val="24"/>
          <w:szCs w:val="24"/>
        </w:rPr>
        <w:br/>
        <w:t xml:space="preserve">2. Bartha, É.; Kiss, Gy.; Kalman, E.; Kulcsár, Gy.; Kálai, T.; Hideg, K.; Habon, T. Sümegi, B.;</w:t>
      </w:r>
      <w:r>
        <w:rPr>
          <w:color w:val="000000"/>
          <w:sz w:val="24"/>
          <w:szCs w:val="24"/>
        </w:rPr>
        <w:br/>
        <w:t xml:space="preserve">Tóth, K.; Halmosi, R. J. Cardiovasc. Pharm. 2008, 52, 253.</w:t>
      </w:r>
      <w:r>
        <w:rPr>
          <w:color w:val="000000"/>
          <w:sz w:val="24"/>
          <w:szCs w:val="24"/>
        </w:rPr>
        <w:br/>
        <w:t xml:space="preserve">3. Kálai, T.; Balog, M.; Szabó, A.;, Gulyás, G.; Jekő, J.; Sümegi, B.; Hideg, K. J. Med. Chem. 2009, 52, 1619.</w:t>
      </w:r>
      <w:r>
        <w:rPr>
          <w:color w:val="000000"/>
          <w:sz w:val="24"/>
          <w:szCs w:val="24"/>
        </w:rPr>
        <w:br/>
        <w:t xml:space="preserve">4. Lord, A-M.; Mahon, M. F.; Lloyd, M. D.; Threadgill, M. D. J. Med. Chem. 2009, 52, 868.</w:t>
      </w:r>
      <w:r>
        <w:rPr>
          <w:color w:val="000000"/>
          <w:sz w:val="24"/>
          <w:szCs w:val="24"/>
        </w:rPr>
        <w:br/>
        <w:t xml:space="preserve">5. Kulkarni, S. S.; Singh, S.; Shah, J. R.; Low, W-K; Talele, T. T. Eur. J. Med. Chem. 2012, 50, 264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47964">
    <w:multiLevelType w:val="hybridMultilevel"/>
    <w:lvl w:ilvl="0" w:tplc="66428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47964">
    <w:abstractNumId w:val="33647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203685" Type="http://schemas.openxmlformats.org/officeDocument/2006/relationships/numbering" Target="numbering.xml"/><Relationship Id="rId15480031a791ef" Type="http://schemas.openxmlformats.org/officeDocument/2006/relationships/image" Target="media/imgrId15480031a791e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