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PÁLINKÁS</w:t>
            </w:r>
          </w:p>
          <w:p w:rsidR="00C275A3" w:rsidRDefault="00A96AEC" w:rsidP="00C275A3">
            <w:pPr>
              <w:pStyle w:val="Hallgatokepzes"/>
            </w:pPr>
            <w:r>
              <w:t>Chemistry</w:t>
            </w:r>
            <w:r>
              <w:br/>
            </w:r>
            <w:r w:rsidR="00E77B23">
              <w:t>MSc, 3. semester</w:t>
            </w:r>
          </w:p>
          <w:p w:rsidR="00C265CE" w:rsidRPr="009E5FF1" w:rsidRDefault="00E77B23" w:rsidP="00BA6BAF">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László Kollár</w:t>
            </w:r>
          </w:p>
          <w:p w:rsidR="00DB4822" w:rsidRDefault="00DB4822" w:rsidP="00BA6BAF">
            <w:pPr>
              <w:pStyle w:val="Konzulensektitulus"/>
            </w:pPr>
            <w:r w:rsidRPr="00DB4822">
              <w:t>Professor of Chemistry, PTE TTK</w:t>
            </w:r>
          </w:p>
        </w:tc>
      </w:tr>
      <w:tr w:rsidR="00DB4822" w:rsidTr="00DB4822">
        <w:tc>
          <w:tcPr>
            <w:tcW w:w="9854" w:type="dxa"/>
          </w:tcPr>
          <w:p w:rsidR="00DB4822" w:rsidRPr="00DB4822" w:rsidRDefault="00DB4822" w:rsidP="00BA6BAF">
            <w:pPr>
              <w:pStyle w:val="Konzulenseknev"/>
            </w:pPr>
            <w:r w:rsidRPr="00DB4822">
              <w:t>Tamás Kégl</w:t>
            </w:r>
          </w:p>
          <w:p w:rsidR="00DB4822" w:rsidRDefault="00DB4822" w:rsidP="00BA6BAF">
            <w:pPr>
              <w:pStyle w:val="Konzulensektitulus"/>
            </w:pPr>
            <w:r w:rsidRPr="00DB4822">
              <w:t>Senior Research Fellow,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Kinetic resolution in the aminocarbonylation of model compounds possessing axial element of chirality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homogeneous; amine; binaphthyl-skeleton; palladium; ligand</w:t>
      </w:r>
      <w:r>
        <w:t xml:space="preserve"/>
      </w:r>
    </w:p>
    <w:p>
      <w:pPr>
        <w:widowControl w:val="on"/>
        <w:pBdr/>
        <w:spacing w:before="240" w:after="240" w:line="240" w:lineRule="auto"/>
        <w:ind w:left="0" w:right="0"/>
        <w:jc w:val="left"/>
      </w:pPr>
      <w:r>
        <w:rPr>
          <w:color w:val="000000"/>
          <w:sz w:val="24"/>
          <w:szCs w:val="24"/>
        </w:rPr>
        <w:t xml:space="preserve">The palladium-catalysed aminocarbonylation of aryl/alkenyl halides plays a key role in the synthesis of carboxamides. The high selectivity, the mild reaction conditions and the high conversion of substrates have rendered these transition metal catalysed reactions the most efficient tools of organic (organometallic) syntheses.</w:t>
      </w:r>
    </w:p>
    <w:p>
      <w:pPr>
        <w:widowControl w:val="on"/>
        <w:pBdr/>
        <w:spacing w:before="240" w:after="240" w:line="240" w:lineRule="auto"/>
        <w:ind w:left="0" w:right="0"/>
        <w:jc w:val="left"/>
      </w:pPr>
      <w:r>
        <w:rPr>
          <w:color w:val="000000"/>
          <w:sz w:val="24"/>
          <w:szCs w:val="24"/>
        </w:rPr>
        <w:t xml:space="preserve">The major aim of this work is the synthesis of binaphthyl-based carboxamides using iodoalkene (1-iodocyclohexene) or iodoaromatics (iodobenzene, 1,8-iodonaphthalene) as substrates and 1,1'-binaphthalene-2,2'-diamine as N-nucleophile. The kinetic resolution during the formation of 1,1’-binaphthalene-2,2’-dicarboxamides has been investigated in the presence of enantiomerically pure ditertiary phosphine ligands. Further syntheses have been carried out with the diazonium-salt of 1,1'-binaphthalene-2,2'-diamine in order to functionalize the binaphthyl moiety using homogeneous catalysis.</w:t>
      </w:r>
    </w:p>
    <w:p>
      <w:pPr>
        <w:widowControl w:val="on"/>
        <w:pBdr/>
        <w:spacing w:before="240" w:after="240" w:line="240" w:lineRule="auto"/>
        <w:ind w:left="0" w:right="0"/>
        <w:jc w:val="left"/>
      </w:pPr>
      <w:r>
        <w:rPr>
          <w:color w:val="000000"/>
          <w:sz w:val="24"/>
          <w:szCs w:val="24"/>
        </w:rPr>
        <w:t xml:space="preserve">The mechanism of the aminocarbonylation has been investigated also by quantum chemical methodologies. The computed structure of the catalytic intermediates, that of the active catalysts, as well as the mechanistic step determining chemoselectivity have been investigated in details.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drawing>
          <wp:inline distT="0" distB="0" distL="0" distR="0">
            <wp:extent cx="5032800" cy="1641600"/>
            <wp:docPr id="96192321" name="name154edc41119086" descr="imgtmp_31435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435_int_1.png"/>
                    <pic:cNvPicPr/>
                  </pic:nvPicPr>
                  <pic:blipFill>
                    <a:blip r:embed="rId154edc41119024" cstate="print"/>
                    <a:stretch>
                      <a:fillRect/>
                    </a:stretch>
                  </pic:blipFill>
                  <pic:spPr>
                    <a:xfrm>
                      <a:off x="0" y="0"/>
                      <a:ext cx="5032800" cy="16416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04090">
    <w:multiLevelType w:val="hybridMultilevel"/>
    <w:lvl w:ilvl="0" w:tplc="84253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04090">
    <w:abstractNumId w:val="48404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096238" Type="http://schemas.openxmlformats.org/officeDocument/2006/relationships/numbering" Target="numbering.xml"/><Relationship Id="rId154edc41119024" Type="http://schemas.openxmlformats.org/officeDocument/2006/relationships/image" Target="media/imgrId154edc411190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