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ZITA ADRIEN SZÖLLŐSI</w:t>
            </w:r>
          </w:p>
          <w:p w:rsidR="00C275A3" w:rsidRDefault="00A96AEC" w:rsidP="00C275A3">
            <w:pPr>
              <w:pStyle w:val="Hallgatokepzes"/>
            </w:pPr>
            <w:r>
              <w:t>Lawyer</w:t>
            </w:r>
            <w:r>
              <w:br/>
            </w:r>
            <w:r w:rsidR="00E77B23">
              <w:t>Unified,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Péter István Hegyes PhD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pre-purchase right, as the formative law of land purchase law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the expiration of the lengthened period of the moratorium, Hungarian lawmakers had to take into account the commitments of the treaty of joining the European Union and create a land purchase law that is in accordance with that treaty. Even though, that the lengthened transitional period has expired, the danger of Hungary becoming “the target of speculative land-purchase,” as a result of opening up the land-market has not decreased, which threatens national interest. In the making of the regulations in question the following problems had to be solved: lawmakers had to make the acquisition of soil by the citizens of the member states free of discrimination, prevent non-legal contracts and exclude investment oriented land-purchases.</w:t>
      </w:r>
      <w:r>
        <w:rPr>
          <w:color w:val="000000"/>
          <w:sz w:val="24"/>
          <w:szCs w:val="24"/>
        </w:rPr>
        <w:br/>
        <w:t xml:space="preserve">Taking this in consideration, a decision has been reached to make the system of land-ownership acquisition more strict, as a result of which the circle of restrictions grew to include Hungarian citizens as well. Within these restrictions the pre-purchase rights, established by laws relating to land, still play a prominent role and serve as the subject matter of my current paper.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38257">
    <w:multiLevelType w:val="hybridMultilevel"/>
    <w:lvl w:ilvl="0" w:tplc="17241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38257">
    <w:abstractNumId w:val="76338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2618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