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BLANKA BARTOS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DAVID MÁRKI</w:t>
            </w:r>
          </w:p>
          <w:p w:rsidR="00DB4822" w:rsidRDefault="00C275A3" w:rsidP="004D7940">
            <w:pPr>
              <w:pStyle w:val="Hallgatokepzes"/>
            </w:pPr>
            <w:r>
              <w:t>Jurist</w:t>
            </w:r>
            <w:r w:rsidR="00A96AEC">
              <w:br/>
              <w:t>Unified, 7.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Law</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Harangozó dr.</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Kerekné dr. Jakó Nóra</w:t>
            </w:r>
          </w:p>
          <w:p w:rsidR="00DB4822" w:rsidRDefault="00DB4822" w:rsidP="00E11062">
            <w:pPr>
              <w:pStyle w:val="Konzulensek"/>
            </w:pPr>
            <w:r w:rsidRPr="00DB4822">
              <w:t>assistent lecturer,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publicity of the justice system, open justice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publicity of the justice system, open justice</w:t>
      </w:r>
    </w:p>
    <w:p>
      <w:pPr>
        <w:widowControl w:val="on"/>
        <w:pBdr/>
        <w:spacing w:before="240" w:after="240" w:line="240" w:lineRule="auto"/>
        <w:ind w:left="0" w:right="0"/>
        <w:jc w:val="left"/>
      </w:pPr>
      <w:r>
        <w:rPr>
          <w:color w:val="000000"/>
          <w:sz w:val="24"/>
          <w:szCs w:val="24"/>
        </w:rPr>
        <w:t xml:space="preserve">The independent, impartial and fair trial is a fundamental right that is declared in Article XXVIII. of the Hungarian Constitution. The judiciary must maintain a balance between independency, social control, the public disclosure of data and the protection of personal data. However, in the last two decades the changes in the law and technic deeply influenced the publicity and made the roles of judges, lawyers, prosecutors, citizens and the press more complicated. In our view, a legal unification between statutes would be more than necessary, regarding the legal loopholes and the contradictions. First of all, we investigate publicity through Hungarian legal sources then we have a closer look at international agreements. It is important to compare and contrast our legal system with other countries to reach a broader result, so we examine China’s, Estonia’s and the United States’ legal system. Furthermore, we discuss the freedom of the judges’ expressions of their opinions regarding the cases, the publicity of court proceedings and finally, we talk about the rights and obligations of the press. We set a de lege ferenda, which contains our proposed solutions based on the research. The idea of closed circuit camera system is also propounded in connection with media tools. The suggestion particularized a wider publicity for both sides of the courtroom’s door because in a democratic state publicity is a value, not a burden.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32846">
    <w:multiLevelType w:val="hybridMultilevel"/>
    <w:lvl w:ilvl="0" w:tplc="75781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32846">
    <w:abstractNumId w:val="72132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6747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