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GÖNCZI</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Márton Sulyok</w:t>
            </w:r>
          </w:p>
          <w:p w:rsidR="00DB4822" w:rsidRDefault="00DB4822" w:rsidP="00E11062">
            <w:pPr>
              <w:pStyle w:val="Konzulensek"/>
            </w:pPr>
            <w:r w:rsidRPr="00DB4822">
              <w:t>assistant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of Life Without Parole from a Fundamental Rights Point of View - the Constitutionality of Criminal Law and the Strasbourg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analyse the constitutional aspects of life without parole sentences in the current Hungarian legal context. The main question I attempted to answer is whether this sanction is compatible with the Hungarian Constitution (Basic Law). If so, why is it? If not, why? Additionally I ask what the possible solutions are.</w:t>
      </w:r>
    </w:p>
    <w:p>
      <w:pPr>
        <w:widowControl w:val="on"/>
        <w:pBdr/>
        <w:spacing w:before="240" w:after="240" w:line="240" w:lineRule="auto"/>
        <w:ind w:left="0" w:right="0"/>
        <w:jc w:val="left"/>
      </w:pPr>
      <w:r>
        <w:rPr>
          <w:color w:val="000000"/>
          <w:sz w:val="24"/>
          <w:szCs w:val="24"/>
        </w:rPr>
        <w:t xml:space="preserve">These contemplations are not newly founded, but recent changes in the International legal context deem it necessary to revise the arguments of the past and also, introduce new ones. Walking the path of this revision it became necessary to take a stand on whether fundamental rights have a hierarchy amongst themselves or are they equal and indivisible. I also embarked upon examining the relation of International law to the Basic Law and outline the possible steps that the Constitutional Court and the Parliament can take towards a solution. In executing such analysis extensively, I attempted to synthetize the relevant Hungarian legal literature and also, provide an outline of the relevant Strasbourg case-law with regards to its recent changes and partial inconsistency. Having outlined the content, the paper employs an objective method based on dogmatic rules and analytical logic to examine the quality of arguments. Throughout this examination I seek to avoid a reasoning that accepts debated facts as axioms. Each time I deem an argument, principle or fact valid, I demonstrate the conflicting opinions and endeavour to provide convincing reasons for preferring one approach to the other.</w:t>
      </w:r>
    </w:p>
    <w:p>
      <w:pPr>
        <w:widowControl w:val="on"/>
        <w:pBdr/>
        <w:spacing w:before="240" w:after="240" w:line="240" w:lineRule="auto"/>
        <w:ind w:left="0" w:right="0"/>
        <w:jc w:val="left"/>
      </w:pPr>
      <w:r>
        <w:rPr>
          <w:color w:val="000000"/>
          <w:sz w:val="24"/>
          <w:szCs w:val="24"/>
        </w:rPr>
        <w:t xml:space="preserve">I am of the opinion that legal theory should not stop at identifying and demonstrating the possible forks in the road of legal reasoning; it also has a duty to take sides in each emerging question. In that spirit I often articulate my own opinion and arguments that are, in some cases, intentionally thought-provoking and nonconformist.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90826">
    <w:multiLevelType w:val="hybridMultilevel"/>
    <w:lvl w:ilvl="0" w:tplc="55785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90826">
    <w:abstractNumId w:val="98590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036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