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EMESE RÉKA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Judit</w:t>
            </w:r>
          </w:p>
          <w:p w:rsidR="00DB4822" w:rsidRDefault="00DB4822" w:rsidP="00E11062">
            <w:pPr>
              <w:pStyle w:val="Konzulensek"/>
            </w:pPr>
            <w:r w:rsidRPr="00DB4822">
              <w:t>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Harangozó Attila</w:t>
            </w:r>
          </w:p>
          <w:p w:rsidR="00DB4822" w:rsidRDefault="00DB4822" w:rsidP="00E11062">
            <w:pPr>
              <w:pStyle w:val="Konzulensek"/>
            </w:pPr>
            <w:r w:rsidRPr="00DB4822">
              <w:t>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Sulyok Márton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etnikai profilalkotás emberi jogi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modern, demokratikus társadalmak legalapvetőbb követelményeihez tartozik az alapjogok széles körű biztosítása, azok magas szintű jogszabályban történő lefektetése és érvényesülésük garanciáinak megteremtése.</w:t>
      </w:r>
      <w:r>
        <w:rPr>
          <w:color w:val="000000"/>
          <w:sz w:val="24"/>
          <w:szCs w:val="24"/>
        </w:rPr>
        <w:br/>
        <w:t xml:space="preserve">Dolgozatomban arra törekedtem, hogy elemezzen a diszkrimináció tilalmának, ezen belül is a faji és etnikai alapú megkülönböztetés tilalmának megsértéséből származó etnikai profilalkotás jogi hátterét és gyakorlati megjelenési formáit, valamint megoldási lehetőségeket vázoltam fel az alapjogok tiszteletben tartását biztosító jogi garanciarendszer kialakítására.</w:t>
      </w:r>
      <w:r>
        <w:rPr>
          <w:color w:val="000000"/>
          <w:sz w:val="24"/>
          <w:szCs w:val="24"/>
        </w:rPr>
        <w:br/>
        <w:t xml:space="preserve">Kutatásom során arra a megállapításra jutottam, hogy ugyan a diszkrimináció tilalmát számos nemzetközi és nemzeti szintű jogszabály garantálja, a bűnüldözési és bűnmegelőzési gyakorlatban mégis komoly kihívást jelent az emberi jogok, különösen az egyenlő bánásmód követelményének érvényre juttatása. Mivel az etnikai profilalkotás megjelenése alapvetően gyakorlati jellegű probléma, fontosnak tartottam kiemelni a gyakorlati szempontokat, különös tekintettel a rendőrségi intézkedésekre.</w:t>
      </w:r>
      <w:r>
        <w:rPr>
          <w:color w:val="000000"/>
          <w:sz w:val="24"/>
          <w:szCs w:val="24"/>
        </w:rPr>
        <w:br/>
        <w:t xml:space="preserve">Végső soron kutatási eredményeimből azt a következtetést vontam le, hogy a magyar rendszer ugyan tartalmaz hiányosságokat, de ezeket a hézagokat tudatos jogalkotói tevékenység és a hatóságok által mutatott jogszerű eljárásra való törekvés mellett kitölthetőnek tartom. Szükség van olyan módszerek átültetésére (pl. a dublini helyszíni kutatásom témáját képező „Diversity Works”), melyek már nyomozóhatósági szinten korlátozzák az etnikai profilalkotás jellemzővé válását, ezzel biztosítva a diszkrimináció tilalmának, illetve az egyenlő bánásmód elvének érvényesülését. Ezen felül az etnikai adatkezelés fontosságára is igyekeztem felhívni a figyelmet, hiszen a problémák kezelésére az adatvédelmi szabályok megfelelő alkalmazásában is jelentős előrelépési lehetőséget látok.</w:t>
      </w:r>
      <w:r>
        <w:rPr>
          <w:color w:val="000000"/>
          <w:sz w:val="24"/>
          <w:szCs w:val="24"/>
        </w:rPr>
        <w:br/>
        <w:t xml:space="preserve">A kutatás az Európai Unió és Magyarország támogatásával, az Európai Szociális Alap társfinanszírozásával a TÁMOP 4.2.4.A/2-11-1-2012-0001 azonosító számú „Nemzeti Kiválóság Program – Hazai hallgatói, illetve kutatói személyi támogatást biztosító rendszer kidolgozása és működtetése konvergencia program” című kiemelt projekt keretei között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86291">
    <w:multiLevelType w:val="hybridMultilevel"/>
    <w:lvl w:ilvl="0" w:tplc="47324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86291">
    <w:abstractNumId w:val="993862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284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