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RÉKA SIMON</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Tóth</w:t>
            </w:r>
          </w:p>
          <w:p w:rsidR="00DB4822" w:rsidRDefault="00DB4822" w:rsidP="00E11062">
            <w:pPr>
              <w:pStyle w:val="Konzulensek"/>
            </w:pPr>
            <w:r w:rsidRPr="00DB4822">
              <w:t>senior lecturer, SZTE ÁJK</w:t>
            </w:r>
          </w:p>
        </w:tc>
      </w:tr>
      <w:tr w:rsidR="00DB4822" w:rsidTr="00DB4822">
        <w:tc>
          <w:tcPr>
            <w:tcW w:w="9854" w:type="dxa"/>
          </w:tcPr>
          <w:p w:rsidR="00DB4822" w:rsidRPr="00DB4822" w:rsidRDefault="00DB4822" w:rsidP="004D7940">
            <w:pPr>
              <w:pStyle w:val="Konzulensek"/>
            </w:pPr>
            <w:r w:rsidRPr="00DB4822">
              <w:t>dr. Attila Harangozó</w:t>
            </w:r>
          </w:p>
          <w:p w:rsidR="00DB4822" w:rsidRDefault="00DB4822" w:rsidP="00E11062">
            <w:pPr>
              <w:pStyle w:val="Konzulensek"/>
            </w:pPr>
            <w:r w:rsidRPr="00DB4822">
              <w:t>senior lecturer, SZTE ÁJK</w:t>
            </w:r>
          </w:p>
        </w:tc>
      </w:tr>
      <w:tr w:rsidR="00DB4822" w:rsidTr="00DB4822">
        <w:tc>
          <w:tcPr>
            <w:tcW w:w="9854" w:type="dxa"/>
          </w:tcPr>
          <w:p w:rsidR="00DB4822" w:rsidRPr="00DB4822" w:rsidRDefault="00DB4822" w:rsidP="004D7940">
            <w:pPr>
              <w:pStyle w:val="Konzulensek"/>
            </w:pPr>
            <w:r w:rsidRPr="00DB4822">
              <w:t>dr. Márton Sulyok</w:t>
            </w:r>
          </w:p>
          <w:p w:rsidR="00DB4822" w:rsidRDefault="00DB4822" w:rsidP="00E11062">
            <w:pPr>
              <w:pStyle w:val="Konzulensek"/>
            </w:pPr>
            <w:r w:rsidRPr="00DB4822">
              <w:t>assistant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human rights aspects of ethnic profiling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principles of modern democratic societies is to guarantee human rights, secure them within the force of law and assure their application without violation.</w:t>
      </w:r>
      <w:r>
        <w:rPr>
          <w:color w:val="000000"/>
          <w:sz w:val="24"/>
          <w:szCs w:val="24"/>
        </w:rPr>
        <w:br/>
        <w:t xml:space="preserve">In my paper, I aimed at analysing the prohibition of discrimination, furthermore the violation of the prohibition of racial discrimination, which leads to the practical problem of ethnic profiling. I studied the legal background of its practice and I outlined solution opportunities for the forming of a legal guarantee structure insuring the respect of fundamental rights.</w:t>
      </w:r>
      <w:r>
        <w:rPr>
          <w:color w:val="000000"/>
          <w:sz w:val="24"/>
          <w:szCs w:val="24"/>
        </w:rPr>
        <w:br/>
        <w:t xml:space="preserve">During my research, I came to the conclusion that although anti-discrimination law exists both at an international and national level, the law enforcement and crime prevention practice sets a serious challenge for human rights, in particular in the field of equality. Since the emergence of ethnic profiling is essentially a practical problem, I found it important to emphasize the practical aspects, also considering the actions of the police.</w:t>
      </w:r>
      <w:r>
        <w:rPr>
          <w:color w:val="000000"/>
          <w:sz w:val="24"/>
          <w:szCs w:val="24"/>
        </w:rPr>
        <w:br/>
        <w:t xml:space="preserve">As an end result, I took cognizance of the fact that the Hungarian system contains some gaps, but they might be filled in by conscious legislative activity and the authorities’ lawful proceedings. It is necessary to implement such methods (i.e. „Diversity Works” in Ireland), which ban ethnic profiling in the level of law enforcement, ensuring non-discrimination and the principle of equal treatment. In addition, the importance of ethnical data management also draws attention to problems that could be solved by the proper application of data protection rules.</w:t>
      </w:r>
      <w:r>
        <w:rPr>
          <w:color w:val="000000"/>
          <w:sz w:val="24"/>
          <w:szCs w:val="24"/>
        </w:rPr>
        <w:br/>
        <w:t xml:space="preserve">This research has been attained with the support of the European Union and Hungary, co-financed by the European Social Fund, in the framework of the TÁMOP 4.2.4.A/2-11-1-2012-0001 seeded project called „National Excellence Program – Convergence program on developing and operating a system ensuring personal support to inland students and researchers”.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12475">
    <w:multiLevelType w:val="hybridMultilevel"/>
    <w:lvl w:ilvl="0" w:tplc="15964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12475">
    <w:abstractNumId w:val="94812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610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