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MÓNIKA</w:t>
            </w:r>
          </w:p>
          <w:p w:rsidR="00C275A3" w:rsidRDefault="00A96AEC" w:rsidP="00C275A3">
            <w:pPr>
              <w:pStyle w:val="Hallgatokepzes"/>
            </w:pPr>
            <w:r>
              <w:t>jogász</w:t>
            </w:r>
            <w:r>
              <w:br/>
            </w:r>
            <w:r w:rsidR="00E77B23">
              <w:t>Osztatlan, 11. félév</w:t>
            </w:r>
          </w:p>
          <w:p w:rsidR="00C265CE" w:rsidRPr="009E5FF1" w:rsidRDefault="00E77B23" w:rsidP="00C275A3">
            <w:pPr>
              <w:pStyle w:val="Hallgatokepzes"/>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Tóth Judit</w:t>
            </w:r>
          </w:p>
          <w:p w:rsidR="00DB4822" w:rsidRDefault="00DB4822" w:rsidP="00E11062">
            <w:pPr>
              <w:pStyle w:val="Konzulensek"/>
            </w:pPr>
            <w:r w:rsidRPr="00DB4822">
              <w:t>docens, SZTE ÁJK</w:t>
            </w:r>
          </w:p>
        </w:tc>
      </w:tr>
      <w:tr w:rsidR="00DB4822" w:rsidTr="00DB4822">
        <w:tc>
          <w:tcPr>
            <w:tcW w:w="9854" w:type="dxa"/>
          </w:tcPr>
          <w:p w:rsidR="00DB4822" w:rsidRPr="00DB4822" w:rsidRDefault="00DB4822" w:rsidP="004D7940">
            <w:pPr>
              <w:pStyle w:val="Konzulensek"/>
            </w:pPr>
            <w:r w:rsidRPr="00DB4822">
              <w:t>dr. Sulyok Márton</w:t>
            </w:r>
          </w:p>
          <w:p w:rsidR="00DB4822" w:rsidRDefault="00DB4822" w:rsidP="00E11062">
            <w:pPr>
              <w:pStyle w:val="Konzulensek"/>
            </w:pPr>
            <w:r w:rsidRPr="00DB4822">
              <w:t>tanársegéd,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"boldogító nem", avagy a transzszexualitás alapjogi kollíziói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Mi teszi családdá a családot, s házassággá a házasságot? Ki vagy mi határozza meg, ki számít „férfinak” és ki számít „nőnek”? Joga van az államnak arra, hogy behatárolja az emberi lényeket férfi és női kategóriákba, vagy hagynia kell, hogy az egyén önrendelkezése keretében saját maga döntsön arról, hogy melyik nemhez tartozzon?</w:t>
      </w:r>
    </w:p>
    <w:p>
      <w:pPr>
        <w:widowControl w:val="on"/>
        <w:pBdr/>
        <w:spacing w:before="240" w:after="240" w:line="240" w:lineRule="auto"/>
        <w:ind w:left="0" w:right="0"/>
        <w:jc w:val="left"/>
      </w:pPr>
      <w:r>
        <w:rPr>
          <w:color w:val="000000"/>
          <w:sz w:val="24"/>
          <w:szCs w:val="24"/>
        </w:rPr>
        <w:t xml:space="preserve">Dolgozatom többek közt ezen kérdésekre keresi a választ, a transzszexuálisokat érintő alapjogi kollíziókra kíván rávilágítani, az alapoknál összevetve Foucault többszörös nemi identitás elméletét a jelenlegi helyzettel. Kiterjeszti ezt továbbá a gyakorlatban megjelenő jogi problémákra is, melyek nagy része Magyarországon a kérdéskör szabályozatlanságból fakad, ebből kifolyólag ütközik például a törvényi betegfogalom a Foucault-i elméletből kiindulva megalkotott betegfogalommal.</w:t>
      </w:r>
    </w:p>
    <w:p>
      <w:pPr>
        <w:widowControl w:val="on"/>
        <w:pBdr/>
        <w:spacing w:before="240" w:after="240" w:line="240" w:lineRule="auto"/>
        <w:ind w:left="0" w:right="0"/>
        <w:jc w:val="left"/>
      </w:pPr>
      <w:r>
        <w:rPr>
          <w:color w:val="000000"/>
          <w:sz w:val="24"/>
          <w:szCs w:val="24"/>
        </w:rPr>
        <w:t xml:space="preserve">Dolgozatom ennek megfelelően foglalkozik a transzszexuális személyeket érintő diszkriminatív helyzetek tisztázásával, az ő házasságuk megtartásának problematikájával, a család fogalma alól történő kiesésükkel, amennyiben fenn kívánják tartani házasságukat és az örökbefogadás lehetőségével, a személyiség szabad kibontakoztatásával, az önkifejezés szabadságával és a testi és lelki egészséggel. Ugyanis Magyarországon, bár engedélyezett a műtét és a hormonkezelés is, rengeteg előzetes vizsgálaton kell részt vennie a transzszexuális személyeknek ahhoz, hogy átalakulhassanak, házasságban élőként pedig választaniuk is kell, hogy házasságukat kívánják fenntartani, vagy új nemüket kívánják anyakönyvbe vetetni. E kérdés jelentőségét növeli, hogy amennyiben házasságuk felbomlik, egyúttal az Alaptörvény által meghatározott család fogalma alól is kikerülnek, ezáltal pedig a társadalomból is, mivel az Alaptörvény szerint a család a társadalom alapegysége.</w:t>
      </w:r>
    </w:p>
    <w:p>
      <w:pPr>
        <w:widowControl w:val="on"/>
        <w:pBdr/>
        <w:spacing w:before="240" w:after="240" w:line="240" w:lineRule="auto"/>
        <w:ind w:left="0" w:right="0"/>
        <w:jc w:val="left"/>
      </w:pPr>
      <w:r>
        <w:rPr>
          <w:color w:val="000000"/>
          <w:sz w:val="24"/>
          <w:szCs w:val="24"/>
        </w:rPr>
        <w:t xml:space="preserve">Dolgozatom nem ad konkrét szabályozási javaslatot a kérdéskörhöz kapcsolódóan, azonban egyes problémaköröket felvetve meghatároz bizonyos elveket, melyek figyelembe vételével lenne kívánatos a szükséges szabályozást kialakítani. </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903818">
    <w:multiLevelType w:val="hybridMultilevel"/>
    <w:lvl w:ilvl="0" w:tplc="962883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903818">
    <w:abstractNumId w:val="789038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86340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