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TÓTH</w:t>
            </w:r>
          </w:p>
          <w:p w:rsidR="00C275A3" w:rsidRDefault="00A96AEC" w:rsidP="00C275A3">
            <w:pPr>
              <w:pStyle w:val="Hallgatokepzes"/>
            </w:pPr>
            <w:r>
              <w:t>Faculty of Law</w:t>
            </w:r>
            <w:r>
              <w:br/>
            </w:r>
            <w:r w:rsidR="00E77B23">
              <w:t>Unified, 11.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Tóth Dr.</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Márton Sulyok Dr.</w:t>
            </w:r>
          </w:p>
          <w:p w:rsidR="00DB4822" w:rsidRDefault="00DB4822" w:rsidP="00E11062">
            <w:pPr>
              <w:pStyle w:val="Konzulensek"/>
            </w:pPr>
            <w:r w:rsidRPr="00DB4822">
              <w:t>Professor's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"Happily ever after" - The collisions of the fundamental rights of transsexuals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makes the family a family and the marriage a marriage? Who or what decides who is considered a man or a woman? Does the state have the right to establish the categories of the human beings as women and men or it should rather let human beings decide between genders as part of their self-determination?</w:t>
      </w:r>
    </w:p>
    <w:p>
      <w:pPr>
        <w:widowControl w:val="on"/>
        <w:pBdr/>
        <w:spacing w:before="240" w:after="240" w:line="240" w:lineRule="auto"/>
        <w:ind w:left="0" w:right="0"/>
        <w:jc w:val="left"/>
      </w:pPr>
      <w:r>
        <w:rPr>
          <w:color w:val="000000"/>
          <w:sz w:val="24"/>
          <w:szCs w:val="24"/>
        </w:rPr>
        <w:t xml:space="preserve">In my work I examined the above-mentioned questions. The essay tries to reveal the collisions related to the fundamental rights of transsexuals. As part of this approach, I compared the current legal situation with Foucault’s theory of multiple sexual identities. I tried to expand the scope of investigation to the legal issues in practice, which mostly originates from the unregulated nature of the field in Hungary. For instance, the patient definition in Hungarian law collides with the patient definition derived from Foucault’s theory.</w:t>
      </w:r>
    </w:p>
    <w:p>
      <w:pPr>
        <w:widowControl w:val="on"/>
        <w:pBdr/>
        <w:spacing w:before="240" w:after="240" w:line="240" w:lineRule="auto"/>
        <w:ind w:left="0" w:right="0"/>
        <w:jc w:val="left"/>
      </w:pPr>
      <w:r>
        <w:rPr>
          <w:color w:val="000000"/>
          <w:sz w:val="24"/>
          <w:szCs w:val="24"/>
        </w:rPr>
        <w:t xml:space="preserve">Accordingly, my work deals with the discriminative situations involving transsexuals: the question of keeping their marriage or their exclusion from the scope of the definition of family in case they want to keep their marriage; their possibilities for adoption, the free replenishment of their personalities, their freedom of self-expression and their physical and mental health.</w:t>
      </w:r>
      <w:r>
        <w:rPr>
          <w:color w:val="000000"/>
          <w:sz w:val="24"/>
          <w:szCs w:val="24"/>
        </w:rPr>
        <w:br/>
        <w:t xml:space="preserve">Although surgery and hormone-therapy is allowed in Hungary, the transsexual persons shall subject themselves to countless pre-examinations to get permission for the change of their gender. Living in a marriage, they must choose between keeping their marriage or register their new gender. Demonstrating the significance of the matter: if the marriage ends, they also end up being excluded from the family-definition of the Fundamental Law of Hungary. Therefore, they also become marginalized in society, because - according to the Fundamental Law of Hungary - family ties shall be based on marriage.</w:t>
      </w:r>
    </w:p>
    <w:p>
      <w:pPr>
        <w:widowControl w:val="on"/>
        <w:pBdr/>
        <w:spacing w:before="240" w:after="240" w:line="240" w:lineRule="auto"/>
        <w:ind w:left="0" w:right="0"/>
        <w:jc w:val="left"/>
      </w:pPr>
      <w:r>
        <w:rPr>
          <w:color w:val="000000"/>
          <w:sz w:val="24"/>
          <w:szCs w:val="24"/>
        </w:rPr>
        <w:t xml:space="preserve">My work does not provide concrete regulatory recommendations for the issue, but determines the main principles for the creation of new legislation.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87674">
    <w:multiLevelType w:val="hybridMultilevel"/>
    <w:lvl w:ilvl="0" w:tplc="93377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87674">
    <w:abstractNumId w:val="99887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602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