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TRIBL</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Sulyok Dr.</w:t>
            </w:r>
          </w:p>
          <w:p w:rsidR="00DB4822" w:rsidRDefault="00DB4822" w:rsidP="00E11062">
            <w:pPr>
              <w:pStyle w:val="Konzulensek"/>
            </w:pPr>
            <w:r w:rsidRPr="00DB4822">
              <w:t>professor's assistant, SZTE ÁJK</w:t>
            </w:r>
          </w:p>
        </w:tc>
      </w:tr>
      <w:tr w:rsidR="00DB4822" w:rsidTr="00DB4822">
        <w:tc>
          <w:tcPr>
            <w:tcW w:w="9854" w:type="dxa"/>
          </w:tcPr>
          <w:p w:rsidR="00DB4822" w:rsidRPr="00DB4822" w:rsidRDefault="00DB4822" w:rsidP="004D7940">
            <w:pPr>
              <w:pStyle w:val="Konzulensek"/>
            </w:pPr>
            <w:r w:rsidRPr="00DB4822">
              <w:t>Zsolt Nagy Dr.</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nature of constitutional identity: european and the national constitutional identity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introduction of Trócsányi’s book „Az alkotmányozás dilemmái” reads: „Today, when we experience the weakening of national sovereignty due to the multiplication of legal systems and international commitments, the notion of constitutional identity gains more and more significance.” Rosenfeld writes: „To establish constitutional identity over time it is necessary to weave together the past of the framers, one’s own present, and the future of unborn generations.”</w:t>
      </w:r>
    </w:p>
    <w:p>
      <w:pPr>
        <w:widowControl w:val="on"/>
        <w:pBdr/>
        <w:spacing w:before="240" w:after="240" w:line="240" w:lineRule="auto"/>
        <w:ind w:left="0" w:right="0"/>
        <w:jc w:val="left"/>
      </w:pPr>
      <w:r>
        <w:rPr>
          <w:color w:val="000000"/>
          <w:sz w:val="24"/>
          <w:szCs w:val="24"/>
        </w:rPr>
        <w:t xml:space="preserve">Article 4(2) TEU says that national identity of the Member States shall be respected.‏ International literature mentions constitutional identity as a sword in the hands of constitutional courts.‏ But what does this all mean?‏ What is the meaning of constitutional identity?‏ What do we understand under national identity in TEU?‏ What is national constitutional identity and European constitutional identity, if any?</w:t>
      </w:r>
    </w:p>
    <w:p>
      <w:pPr>
        <w:widowControl w:val="on"/>
        <w:pBdr/>
        <w:spacing w:before="240" w:after="240" w:line="240" w:lineRule="auto"/>
        <w:ind w:left="0" w:right="0"/>
        <w:jc w:val="left"/>
      </w:pPr>
      <w:r>
        <w:rPr>
          <w:color w:val="000000"/>
          <w:sz w:val="24"/>
          <w:szCs w:val="24"/>
        </w:rPr>
        <w:t xml:space="preserve">My research looked for answers to these questions by examining constitutional identity, and concluded that constitutional identity is not an artificial institution which can be (re)shaped at will.‏ It is not a means for political ambition. Its development cannot be forced; therefore it cannot be created. Constitutional identity is much rather a feature of the nature of legal systems, called "modern statehood", therefore it is rather "born" than created. It is a process which forms and connects societies, constituents and constitutions. Constitutional identity is a manifestation, embodying the will of the people living in the constitutional system, combining the system’s past and present, while determining its future. Quoting Rosenfeld: it "reaches over time". However, constitutional identity is a tool in the hands of European integration as much as it is in the hands of the Member States, and it helps ensure the stability of integration as well as the future by the integrity of the Member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53803">
    <w:multiLevelType w:val="hybridMultilevel"/>
    <w:lvl w:ilvl="0" w:tplc="91239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53803">
    <w:abstractNumId w:val="58253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863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