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PÁPAI MÁRTA</w:t>
            </w:r>
          </w:p>
          <w:p w:rsidR="00C275A3" w:rsidRDefault="00A96AEC" w:rsidP="00C275A3">
            <w:pPr>
              <w:pStyle w:val="Hallgatokepzes"/>
            </w:pPr>
            <w:r>
              <w:t>Jogász</w:t>
            </w:r>
            <w:r>
              <w:br/>
            </w:r>
            <w:r w:rsidR="00E77B23">
              <w:t>Osztatlan, 7. félév</w:t>
            </w:r>
          </w:p>
          <w:p w:rsidR="00C265CE" w:rsidRPr="009E5FF1" w:rsidRDefault="00E77B23" w:rsidP="009763E0">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Balogh Elemér</w:t>
            </w:r>
          </w:p>
          <w:p w:rsidR="00DB4822" w:rsidRDefault="00DB4822" w:rsidP="009763E0">
            <w:pPr>
              <w:pStyle w:val="Konzulensektitulus"/>
            </w:pPr>
            <w:r w:rsidRPr="00DB4822">
              <w:t>egyetemi tanár,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Napóleon bűnvádi perrendtartásának hatásai Olaszországra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Napóleon bűnvádi perrendtartása az egyik legjelentősebb napóleoni kódex, amely nemcsak Franciaországban, hanem számos más országban is kifejtette hatását, többek között Olaszországban is. Ahhoz azonban, hogy megértsük jelentőségét és hatását az olasz jogfejlődésre, az akkori francia és olasz jogi helyzet bemutatásával kezdem dolgozatomat. Napóleon bűnvádi perrendtartásának egyik legnagyobb érdeme az volt, hogy egyensúlyt teremtett az inkvizitórius és az akkuzatórius eljárás között, valamint egy egységes kódexbe foglalta a büntetőeljárásjogi szabályokat. A Code d’Instruction Criminelle azonban nem volt teljesen önálló munka, sok rendelkezését az 1670-es rendeletből, valamint az 1791-es törvényekből vette át. Olaszországban sok büntetőeljárásjogi törvény volt, szinte minden régió külön büntetőeljárásjoggal rendelkezett. Dolgozatomban az Olasz Királyság 1865-ös kódexét vetem össze a Code d’Instruction Criminelle-lel.</w:t>
      </w:r>
      <w:r>
        <w:rPr>
          <w:color w:val="000000"/>
          <w:sz w:val="24"/>
          <w:szCs w:val="24"/>
        </w:rPr>
        <w:br/>
        <w:t xml:space="preserve">A pályamunka középpontjába az esküdtszéket állítottam, ez volt az egyik legvitatottabb kérdés. Mivel az esküdtszék tipikusan angolszász jogintézmény, ezért sokan kétségbe vonták létjogosultságát mind Franciaországban, mind Olaszországban. A dolgozatban az esküdtszék melletti és elleni legfontosabb érveket ismertetem, valamint kitérek annak előnyeire és hátrányaira is. Az esküdtszék esetében szépen kimutatható, hogy az olasz szabályozás nagy mértékben a francia szabályozásra épült.</w:t>
      </w:r>
      <w:r>
        <w:rPr>
          <w:color w:val="000000"/>
          <w:sz w:val="24"/>
          <w:szCs w:val="24"/>
        </w:rPr>
        <w:br/>
        <w:t xml:space="preserve">Az esküdtszéken kívül a különbíróságok, a vizsgálóbíró, az ügyészség és a tanúkihallgatás szerepét vizsgálom meg a francia és az olasz büntetőeljárásjogban.</w:t>
      </w:r>
      <w:r>
        <w:rPr>
          <w:color w:val="000000"/>
          <w:sz w:val="24"/>
          <w:szCs w:val="24"/>
        </w:rPr>
        <w:br/>
        <w:t xml:space="preserve">Minden fejezetben arra is törekszem egyben, hogy bemutassam azt, hogy ezen jogintézményeknél hogyan érvényesült Napóleon hatalma, más szóval, hogyan uralta Napóleon személye az egész szabályozást.</w:t>
      </w:r>
      <w:r>
        <w:rPr>
          <w:color w:val="000000"/>
          <w:sz w:val="24"/>
          <w:szCs w:val="24"/>
        </w:rPr>
        <w:br/>
        <w:t xml:space="preserve">Azért az eljárásjogot választottam a dolgozatom tárgyául, mert a perekben sokszor az eljárásjogi szabályok meghatározóbbak lehettek az anyagi jogi szabályoknál, emberéletek is múlhattak rajta.</w:t>
      </w:r>
      <w:r>
        <w:rPr>
          <w:color w:val="000000"/>
          <w:sz w:val="24"/>
          <w:szCs w:val="24"/>
        </w:rPr>
        <w:br/>
        <w:t xml:space="preserve">Az általam vizsgált két kódex jelentősen befolyásolta a ma hatályos törvénykönyvek szabályozását is, tehát a 21. században is érdemes ezen kódexekkel foglalkozni.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35936">
    <w:multiLevelType w:val="hybridMultilevel"/>
    <w:lvl w:ilvl="0" w:tplc="64788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35936">
    <w:abstractNumId w:val="774359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4239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