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SÁDT</w:t>
            </w:r>
          </w:p>
          <w:p w:rsidR="00C275A3" w:rsidRDefault="00A96AEC" w:rsidP="00C275A3">
            <w:pPr>
              <w:pStyle w:val="Hallgatokepzes"/>
            </w:pPr>
            <w:r>
              <w:t>Faculty of Law</w:t>
            </w:r>
            <w:r>
              <w:br/>
            </w:r>
            <w:r w:rsidR="00E77B23">
              <w:t>Unified, 5. semester</w:t>
            </w:r>
          </w:p>
          <w:p w:rsidR="00C265CE" w:rsidRPr="009E5FF1" w:rsidRDefault="00E77B23" w:rsidP="009763E0">
            <w:pPr>
              <w:pStyle w:val="Hallgatointezmeny-kar"/>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Judit Siket </w:t>
            </w:r>
          </w:p>
          <w:p w:rsidR="00DB4822" w:rsidRDefault="00DB4822" w:rsidP="009763E0">
            <w:pPr>
              <w:pStyle w:val="Konzulensektitulus"/>
            </w:pPr>
            <w:r w:rsidRPr="00DB4822">
              <w:t>professor's assistant, SZTE ÁJK</w:t>
            </w:r>
          </w:p>
        </w:tc>
      </w:tr>
      <w:tr w:rsidR="00DB4822" w:rsidTr="00DB4822">
        <w:tc>
          <w:tcPr>
            <w:tcW w:w="9854" w:type="dxa"/>
          </w:tcPr>
          <w:p w:rsidR="00DB4822" w:rsidRPr="00DB4822" w:rsidRDefault="00DB4822" w:rsidP="009763E0">
            <w:pPr>
              <w:pStyle w:val="Konzulenseknev"/>
            </w:pPr>
            <w:r w:rsidRPr="00DB4822">
              <w:t>Erzsébet Csatlós</w:t>
            </w:r>
          </w:p>
          <w:p w:rsidR="00DB4822" w:rsidRDefault="00DB4822" w:rsidP="009763E0">
            <w:pPr>
              <w:pStyle w:val="Konzulensektitulus"/>
            </w:pPr>
            <w:r w:rsidRPr="00DB4822">
              <w:t>research fellow,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Institutional Framework for Basic Informational Rights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After the transformation of the regime, Hungary, in order to guarantee the right to informational self-determination and the enforcement of freedom of information, adopted law No. LXIII of 1992 on the protection of personal data and the availability of public information.</w:t>
      </w:r>
    </w:p>
    <w:p>
      <w:pPr>
        <w:widowControl w:val="on"/>
        <w:pBdr/>
        <w:spacing w:before="240" w:after="240" w:line="240" w:lineRule="auto"/>
        <w:ind w:left="0" w:right="0"/>
        <w:jc w:val="left"/>
      </w:pPr>
      <w:r>
        <w:rPr>
          <w:color w:val="000000"/>
          <w:sz w:val="24"/>
          <w:szCs w:val="24"/>
        </w:rPr>
        <w:t xml:space="preserve">Almost two decades later a dynamic legislation process has started that resulted significant changes in the legal system. One of them is the adoption of law No. CXII of 2011 on the right to informational self-determination and to freedom of information so as the substitution of the data protection ombudsman with a new administrative body called Hungarian National Authority for Data Protection and Freedom of Information.</w:t>
      </w:r>
      <w:r>
        <w:rPr>
          <w:color w:val="000000"/>
          <w:sz w:val="24"/>
          <w:szCs w:val="24"/>
        </w:rPr>
        <w:br/>
        <w:t xml:space="preserve">The study highlights this model change and aims to compare the former and the actual institution of data protection and to search for the motifs of this change and its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636396">
    <w:multiLevelType w:val="hybridMultilevel"/>
    <w:lvl w:ilvl="0" w:tplc="660876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636396">
    <w:abstractNumId w:val="476363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07285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