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GABOR HAJDU</w:t>
            </w:r>
          </w:p>
          <w:p w:rsidR="00C275A3" w:rsidRDefault="00A96AEC" w:rsidP="00C275A3">
            <w:pPr>
              <w:pStyle w:val="Hallgatokepzes"/>
            </w:pPr>
            <w:r>
              <w:t>law</w:t>
            </w:r>
            <w:r>
              <w:br/>
            </w:r>
            <w:r w:rsidR="00E77B23">
              <w:t>Unified, 5.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habil. Zoltán Józsa</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Regulatory Models of Public Administration Ethics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study divides the possible models of regulating public administration ethics into two categories: codes of ethics and morality. Codes of ethics are, usually, an external source of ethics. The study examines the definition of the concept, based on dictionaries and other sources. It also presents its brief history, starting from the Hippocratic Oath. Finally, it discusses the common attributes of codes of ethics.</w:t>
      </w:r>
      <w:r>
        <w:rPr>
          <w:color w:val="000000"/>
          <w:sz w:val="24"/>
          <w:szCs w:val="24"/>
        </w:rPr>
        <w:br/>
        <w:t xml:space="preserve">The study deals with morality with the same method. Concept and definition, history, and attributes.</w:t>
      </w:r>
      <w:r>
        <w:rPr>
          <w:color w:val="000000"/>
          <w:sz w:val="24"/>
          <w:szCs w:val="24"/>
        </w:rPr>
        <w:br/>
        <w:t xml:space="preserve">The next discussed question, is the appearance of these two categories in the U. S. and Europe. When examining Europe, the study individually looks into the public administration ethics of Northern and Western Europe, post-socialist countries, and the EU.</w:t>
      </w:r>
      <w:r>
        <w:rPr>
          <w:color w:val="000000"/>
          <w:sz w:val="24"/>
          <w:szCs w:val="24"/>
        </w:rPr>
        <w:br/>
        <w:t xml:space="preserve">Hungary is also discussed in the study. Particular points of interest are the various attempts at creating code of ethics for the public administration, the effects of the new constitution (Alaptörvény), and the newest changes in education.</w:t>
      </w:r>
      <w:r>
        <w:rPr>
          <w:color w:val="000000"/>
          <w:sz w:val="24"/>
          <w:szCs w:val="24"/>
        </w:rPr>
        <w:br/>
        <w:t xml:space="preserve">Finally, the study compares the two models, using various methods. It also attempts to divine current and future tendencies. Based on these tendencies, as well as other results, it creates the theory of linear progress, uniting the two concepts in an ‘evolutionary’ fashion.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913584">
    <w:multiLevelType w:val="hybridMultilevel"/>
    <w:lvl w:ilvl="0" w:tplc="837268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913584">
    <w:abstractNumId w:val="3391358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521538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