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JACSÓ LÁSZLÓ</w:t>
            </w:r>
          </w:p>
          <w:p w:rsidR="00C275A3" w:rsidRDefault="00A96AEC" w:rsidP="00C275A3">
            <w:pPr>
              <w:pStyle w:val="Hallgatokepzes"/>
            </w:pPr>
            <w:r>
              <w:t>Rendészeti igazgatási (büntetés-végrehajtási szakirány)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Czenczer Orsolya bv. őrnagy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"Mindörökké fogságban, avagy az életfogytig tartó szabadságvesztés 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Az 1989-es rendszerváltást követően Magyarország egyre inkább a nyugati országok példáját követte az állami struktúra és igazgatás kialakításában. Így történt ez a büntető-jog, a büntetőeljárás-jog és a büntetés-végrehajtás területén is. Bár ezek a változások lassan mentek végbe, a hazai politika és jogi szaktekintélyek belátták, hogy a „fejlett és humanista” nyugati elvek nem összeegyeztethetőek a halálbüntetés visszavezetésével. Így egy még külföldön is új büntetési nem bevezetésének jogi kialakításába kezdtek. A lassú döntés-előkészítést valójában alapos szakmai viták és fórumok tarkították, melyek végeztéül megalkották az 1998. évi LXXXVII. tv. a büntető jogszabályok módosításáról. Ez fogalmazta meg, helyezte jogilag és államilag elismert büntetéssé a tényleges életfogytig tartó szabadságvesztés büntetést. 1991 március 1-től a törvény hatályba is lépett, s azóta már 53 esetben szabtak ki jogerős, vagy nem jogerős tényleges életfogytig tartó szabadságvesztés büntetést.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    A hosszú távú szabadságvesztésnek számos deszocializációs hatása van. Továbbá az intézményesítés ezeknél az elítélteknél pszichológiai problémák széles skáláját okozhatja (ide értve az önbecsülésük elvesztését és a szociális készség károsodását). Ezek a kockázatok az életfogytig tartó szabadságvesztést töltőknél még magasabbak, mivel az egész életüket börtönben kell tölteniük.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28752">
    <w:multiLevelType w:val="hybridMultilevel"/>
    <w:lvl w:ilvl="0" w:tplc="15041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28752">
    <w:abstractNumId w:val="92028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4068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