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VINCZE PETRONELLA</w:t>
            </w:r>
          </w:p>
          <w:p w:rsidR="00C275A3" w:rsidRDefault="00A96AEC" w:rsidP="00C275A3">
            <w:pPr>
              <w:pStyle w:val="Hallgatokepzes"/>
            </w:pPr>
            <w:r>
              <w:t>bűnügyi - igazgatás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Simon Béla r. őrnagy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tanszéki oktató,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Európai Unió hatékony eszköze az internacionális bűnözéssel szemben – az első közös nyomozócsoport Magyarországon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 is az a közös nyomozócsoport és mióta létezik Magyarországon? A közös nyomozócsoportok, más néven Joint Investigation Team (JIT) intézménye abból a célból jött létre, hogy az internacionális bűnözéssel szemben segítse a nyomozó hatóságokat, hogy azok minél hatékonyabban és összehangoltabban vegyék fel a harcot a tagállamok határain átnyúló bűnszerveződések ellen.</w:t>
      </w:r>
      <w:r>
        <w:rPr>
          <w:color w:val="000000"/>
          <w:sz w:val="24"/>
          <w:szCs w:val="24"/>
        </w:rPr>
        <w:br/>
        <w:t xml:space="preserve">A közös nyomozócsoport ereje abban rejlik, hogy a résztvevő tagok – akik nem csak nyomozók, hanem ügyészek, bírók és akár EU szervek tisztségviselői is lehetnek -, egymással közvetlen kapcsolatot teremtve, egy közös megállapodás alapján végzik a nyomozási cselekményeket, melyeket egymás tevékenységével összhangban, akár társszervek segítségét is igénybe véve is végezhetnek.</w:t>
      </w:r>
      <w:r>
        <w:rPr>
          <w:color w:val="000000"/>
          <w:sz w:val="24"/>
          <w:szCs w:val="24"/>
        </w:rPr>
        <w:br/>
        <w:t xml:space="preserve">Magyarországon először 2011-ben hoztak létre közös nyomozócsoportot, amelyre az akkoriban nagy sajtóvisszhangot keltő nemzetközi ügy, a „Bunda-botrány” kapcsán volt szükség. Az ügyben felmerült a hatóságok részéről, hogy – a bűnügyi jogsegély rendszer hátrányait kiküszöbölve – egy egységes cél érdekében külföldi társahatóságokkal kössenek megállapodást közös nyomozócsoport megalakításáról.</w:t>
      </w:r>
      <w:r>
        <w:rPr>
          <w:color w:val="000000"/>
          <w:sz w:val="24"/>
          <w:szCs w:val="24"/>
        </w:rPr>
        <w:br/>
        <w:t xml:space="preserve">Ez a jogintézmény lehetőséget biztosított a magyar nyomozó hatóság számára, hogy külföldön tanúkihallgatást végezzenek, illetve a társhatóságokkal bizonyítékok és információk közvetlen cseréjét bonyolítsák le, mindezzel egymás és saját munkájukat megkönnyítve. A nyomozás során beszerzett nagy mennyiségű információ feldolgozását pedig az Europol segítségével sikerült feldolgozni és elemezni az együttműködés keretein belül. A kooperáció eredményeként 15 országban 425 korrupt játékost és egyéb hivatalos személyt, valamint bűnözőt azonosítottak, akik részt vettek a bűncselekmények elkövetésében.</w:t>
      </w:r>
      <w:r>
        <w:rPr>
          <w:color w:val="000000"/>
          <w:sz w:val="24"/>
          <w:szCs w:val="24"/>
        </w:rPr>
        <w:br/>
        <w:t xml:space="preserve">Dolgozatomban szeretném bemutatni a közös nyomozócsoportok jogintézményét, és azt, hogy hogyan sikerült véghez vinni az említett jogintézmény megalakítását és alkalmazását Magyarországon, illetve milyen tapasztalatok és vélemények alakultak ki az üggyel és a közös nyomozócsoportokkal kapcsolatban, amelyek segíthetik a nyomozóhatóságok jövőbeni munkáját.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246040">
    <w:multiLevelType w:val="hybridMultilevel"/>
    <w:lvl w:ilvl="0" w:tplc="536221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246040">
    <w:abstractNumId w:val="5524604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53472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