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ÁDÁM SZAKÁCS</w:t>
            </w:r>
          </w:p>
          <w:p w:rsidR="00C275A3" w:rsidRDefault="00A96AEC" w:rsidP="00C275A3">
            <w:pPr>
              <w:pStyle w:val="Hallgatokepzes"/>
            </w:pPr>
            <w:r>
              <w:t>Crime Administration Major</w:t>
            </w:r>
            <w:r>
              <w:br/>
            </w:r>
            <w:r w:rsidR="00E77B23">
              <w:t>BA, 5. semester</w:t>
            </w:r>
          </w:p>
          <w:p w:rsidR="00C265CE" w:rsidRPr="009E5FF1" w:rsidRDefault="00E77B23" w:rsidP="00C275A3">
            <w:pPr>
              <w:pStyle w:val="Hallgatokepzes"/>
              <w:rPr>
                <w:b/>
                <w:caps/>
              </w:rPr>
            </w:pPr>
            <w:r>
              <w:t>National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LTC Dr. Robert David (fg.)</w:t>
            </w:r>
          </w:p>
          <w:p w:rsidR="00DB4822" w:rsidRDefault="00DB4822" w:rsidP="00E11062">
            <w:pPr>
              <w:pStyle w:val="Konzulensek"/>
            </w:pPr>
            <w:r w:rsidRPr="00DB4822">
              <w:t>professor,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illegal activities regarding the budget estimation of so called grain chain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the following paper I present the illegal activities regarding the budget estimation of so called grain chain. At first I present the agriculture and from there on I proceed forward to the illegal activities. During this presentation, I also give information of the legal and illegal chains, what documents are required for the legal operation, also who can be considered primary producers. Finally I indicate the reactions of the groups of offenders involved and the tools of evidence. The reversed VAT was introduced from the beginning of July 2012. in certain grain chains which is also involved and an important part of my paper. Due to the introduction there have not been budget abuses. This reversed VAT was planned to take effect on 30th June 2014. however, the European Union has extended it with the 2012/624/EU implementation decision until 31st December 2018. Therefore further budget abuses are not expected. Due to this pause, this is an ideal date to deeply analyse and present these cases using images, diagrams and statistic data, and to analyse how the grain chains really work. Although we have to be prepared, that from 2019 the abuses will re-surface after 2019.</w:t>
      </w:r>
      <w:r>
        <w:rPr>
          <w:color w:val="000000"/>
          <w:sz w:val="24"/>
          <w:szCs w:val="24"/>
        </w:rPr>
        <w:br/>
        <w:t xml:space="preserve">I have used many literature, internet data, and source material provided by my scientific advisor to finish my paper. The paper itself involves knowledge and data received at different subjects that we studied at univercity.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469012">
    <w:multiLevelType w:val="hybridMultilevel"/>
    <w:lvl w:ilvl="0" w:tplc="116640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469012">
    <w:abstractNumId w:val="944690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8272506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