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Hajdú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munkavállalók magánszférájának védelme a távmunka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tárgya a távmunka és adatvédelem együttes vizsgálata, amely különösen fontos terület, azonban hazánkban még szinte teljesen kidolgozatlan. Mind a távmunka, mind az adatvédelem szerepe fokozatosan felértékelődik a modern társadalmakban. A hagyományos munkajogviszonyok során felmerülő munkáltatói ellenőrzések már jogilag szabályozottak: a dolgozatban azt vizsgáltam, hogy ez a már létező szabályozás hatékonyan alkalmazható-e a távmunka során felmerülő munkáltatói ellenőrzésekre is.</w:t>
      </w:r>
      <w:r>
        <w:rPr>
          <w:color w:val="000000"/>
          <w:sz w:val="24"/>
          <w:szCs w:val="24"/>
        </w:rPr>
        <w:br/>
        <w:t xml:space="preserve">Kutatásom célkitűzése annak vizsgálata, hogy a hagyományos munkajogviszony során alkalmazott munkáltatói ellenőrzésekhez képest mik azok a távmunka során felmerülő eltérő helyzetek, jellegzetességek, amelyek felvetik a munkavállalók magánszférához és személyes adatok védelméhez való jogának a fokozott biztosítását. Így a kiindulópontot a távmunka elhatárolása jelentette a hagyományos munkajogviszonytól. Kutatásom alapját a jogdogmatikai kérdések áttekintése és a tételes jog vizsgálata képezte, valamint kitekintést tettem a Nemzeti Adatvédelmi és Információszabadság Hatóság gyakorlatára is.</w:t>
      </w:r>
      <w:r>
        <w:rPr>
          <w:color w:val="000000"/>
          <w:sz w:val="24"/>
          <w:szCs w:val="24"/>
        </w:rPr>
        <w:br/>
        <w:t xml:space="preserve">Dolgozatomban elsőként a távmunkát mutatom be, ezt követően ismertetem a munkáltatói ellenőrzés során felmerülő alapvető jogi problémát: a munkáltató jogos gazdasági érdekének és a munkavállaló alapvető személyiségi jogainak kollízióját. Röviden áttekintem az adatvédelemre vonatkozó nemzetközi és hazai dokumentumokat, bemutatva a munkáltatói ellenőrzésekre már kidolgozott szabályozást. Ezt követően ismertetem a távmunka során felmerülő ellenőrzéseket, azok különleges jellemzőit.</w:t>
      </w:r>
      <w:r>
        <w:rPr>
          <w:color w:val="000000"/>
          <w:sz w:val="24"/>
          <w:szCs w:val="24"/>
        </w:rPr>
        <w:br/>
        <w:t xml:space="preserve">Kutatásom eredményeképp arra jutottam, hogy a távmunka eltérő jellegzetességei nem olyan mértékűek, hogy szükségessé tegyék a speciális, törvényi szintű szabályozást, mivel a már létező szabályozás megfelelő védelmet biztosít a távmunka esetében is. Ennek ellenére kiemelt jelentősége van a távmunka és adatvédelem együttes, ha nem is törvényi szinten történő szabályozásának, amely norma által érvényre juthatnak a távmunka speciális adatvédelmi vonatkozásai is. A dolgozat befejező része ezeket a de lege ferenda javaslatokat tartalmazza.</w:t>
      </w:r>
      <w:r>
        <w:rPr>
          <w:color w:val="000000"/>
          <w:sz w:val="24"/>
          <w:szCs w:val="24"/>
        </w:rPr>
        <w:br/>
        <w:t xml:space="preserve">A kutatás a TÁMOP 4.2.4.A/2-11-1-2012-0001 azonosító számú „Nemzeti Kiválóság Program – Hazai hallgatói, illetve kutatói személyi támogatást biztosító rendszer kidolgozása és működtetése konvergencia program” című kiemelt projekt keretében zajlott. A projekt az Európai Unió támogatásával, az Európai Szociális Alap társfinanszírozásával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62978">
    <w:multiLevelType w:val="hybridMultilevel"/>
    <w:lvl w:ilvl="0" w:tplc="45754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62978">
    <w:abstractNumId w:val="19162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669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