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TAMÁS PETRÓCZI</w:t>
            </w:r>
          </w:p>
          <w:p w:rsidR="00C275A3" w:rsidRDefault="00A96AEC" w:rsidP="00C275A3">
            <w:pPr>
              <w:pStyle w:val="Hallgatokepzes"/>
            </w:pPr>
            <w:r>
              <w:t>law</w:t>
            </w:r>
            <w:r>
              <w:br/>
            </w:r>
            <w:r w:rsidR="00E77B23">
              <w:t>Unified, 9. semester</w:t>
            </w:r>
          </w:p>
          <w:p w:rsidR="00C265CE" w:rsidRPr="009E5FF1" w:rsidRDefault="00E77B23" w:rsidP="009763E0">
            <w:pPr>
              <w:pStyle w:val="Hallgatointezmeny-kar"/>
              <w:rPr>
                <w:b/>
                <w:caps/>
              </w:rPr>
            </w:pPr>
            <w:r>
              <w:t>University of Szeged</w:t>
            </w:r>
            <w:r w:rsidR="00C275A3">
              <w:br/>
            </w:r>
            <w:r w:rsidR="00DB4822">
              <w:t>Faculty of Law</w:t>
            </w:r>
          </w:p>
        </w:tc>
        <w:tc>
          <w:tcPr>
            <w:tcW w:w="4914" w:type="dxa"/>
          </w:tcPr>
          <w:p w:rsidR="00DB4822" w:rsidRPr="00DB4822" w:rsidRDefault="00DB4822" w:rsidP="004D7940">
            <w:pPr>
              <w:pStyle w:val="Hallgatonev"/>
              <w:rPr>
                <w:caps/>
              </w:rPr>
            </w:pPr>
            <w:r w:rsidRPr="00DB4822">
              <w:rPr>
                <w:caps/>
              </w:rPr>
              <w:t>TÍMEA PETRÓCZI</w:t>
            </w:r>
          </w:p>
          <w:p w:rsidR="00DB4822" w:rsidRDefault="00C275A3" w:rsidP="004D7940">
            <w:pPr>
              <w:pStyle w:val="Hallgatokepzes"/>
            </w:pPr>
            <w:r>
              <w:t>law</w:t>
            </w:r>
            <w:r w:rsidR="00A96AEC">
              <w:br/>
              <w:t>Unified, 9. semester</w:t>
            </w:r>
          </w:p>
          <w:p w:rsidR="00DB4822" w:rsidRDefault="00DB4822" w:rsidP="004D7940">
            <w:pPr>
              <w:pStyle w:val="Hallgatointezmeny-kar"/>
            </w:pPr>
            <w:r>
              <w:t>University of Szeged</w:t>
            </w:r>
          </w:p>
          <w:p w:rsidR="00C265CE" w:rsidRPr="009E5FF1" w:rsidRDefault="00DB4822" w:rsidP="004D7940">
            <w:pPr>
              <w:pStyle w:val="Hallgatointezmeny-kar"/>
              <w:rPr>
                <w:b/>
                <w:caps/>
              </w:rPr>
            </w:pPr>
            <w:r>
              <w:t>Faculty of Law</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Anikó Szalai</w:t>
            </w:r>
          </w:p>
          <w:p w:rsidR="00DB4822" w:rsidRDefault="00DB4822" w:rsidP="009763E0">
            <w:pPr>
              <w:pStyle w:val="Konzulensektitulus"/>
            </w:pPr>
            <w:r w:rsidRPr="00DB4822">
              <w:t>assistant professor, SZTE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regulation and role of espionage in international law</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Every state – be it western or eastern, democratic or authoritarian – practices espionage as that way it can shine light on the most guarded secrets of other states. At the same time – despite their own espionage programs – every state that falls victim of espionage erupts in loud protest because their sovereignty and state security has been breached. Still, there are no official initiatives to ban espionage, or at least regulate it, only national law attempts to restrict the access to information of foreign agents and protect the same abilities of national agents. But what does international law have to say on the matter? </w:t>
      </w:r>
    </w:p>
    <w:p>
      <w:pPr>
        <w:widowControl w:val="on"/>
        <w:pBdr/>
        <w:spacing w:before="240" w:after="240" w:line="240" w:lineRule="auto"/>
        <w:ind w:left="0" w:right="0"/>
        <w:jc w:val="left"/>
      </w:pPr>
      <w:r>
        <w:rPr>
          <w:color w:val="000000"/>
          <w:sz w:val="24"/>
          <w:szCs w:val="24"/>
        </w:rPr>
        <w:t xml:space="preserve">The regulation of peacetime espionage is imperfect to say the least, due to the impossibility of enforcement, the high risk associated with unilateral compliance, the higher price stronger states would have to pay and also, even if such an ineffective regulation did exist it would only hamper global security by restricting the flow of information. Democratic states seek to achieve a high level of transparency, as that builds and keeps peace best. Even so, this policy too has to have boundaries that answer why secrecy and counter-intelligence is needed. Not even the most peaceful state would wish to have its defence technology secrets – among other necessary operating secrets – fall into the wrong hands, as that information is not necessary for peacekeeping, but should a war erupt, it would seriously impair their defensive capabilities.</w:t>
      </w:r>
    </w:p>
    <w:p>
      <w:pPr>
        <w:widowControl w:val="on"/>
        <w:pBdr/>
        <w:spacing w:before="240" w:after="240" w:line="240" w:lineRule="auto"/>
        <w:ind w:left="0" w:right="0"/>
        <w:jc w:val="left"/>
      </w:pPr>
      <w:r>
        <w:rPr>
          <w:color w:val="000000"/>
          <w:sz w:val="24"/>
          <w:szCs w:val="24"/>
        </w:rPr>
        <w:t xml:space="preserve">There is an argument, derivable from both the principles of the Peace of Westphalia and the Charter of the United Nations, whereby espionage, wire-tapping and the establishment of clandestine listening posts constitute intervention in the internal affairs of a sovereign state and is thus against international law. Practice however provides basis to the conclusion that the idea of sovereignty and the prohibition of intervention were created and continue to exist in an international law and politics context that has always included espionage and so the ideas themselves implicitly recognize these exceptions to infringement.</w:t>
      </w:r>
    </w:p>
    <w:p>
      <w:pPr>
        <w:widowControl w:val="on"/>
        <w:pBdr/>
        <w:spacing w:before="240" w:after="240" w:line="240" w:lineRule="auto"/>
        <w:ind w:left="0" w:right="0"/>
        <w:jc w:val="left"/>
      </w:pPr>
      <w:r>
        <w:rPr>
          <w:color w:val="000000"/>
          <w:sz w:val="24"/>
          <w:szCs w:val="24"/>
        </w:rPr>
        <w:t xml:space="preserve">Despite this, there are attempts to change the status quo in answer to the changed global relations. In view of this, raising the issue to light once more at the international stage is appropriate and to be supported, even if the idea of an open and peaceful world falls so far from everyday reality.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4116252">
    <w:multiLevelType w:val="hybridMultilevel"/>
    <w:lvl w:ilvl="0" w:tplc="5070867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4116252">
    <w:abstractNumId w:val="6411625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0900177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