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DÁNIEL</w:t>
            </w:r>
          </w:p>
          <w:p w:rsidR="00C275A3" w:rsidRDefault="00A96AEC" w:rsidP="00C275A3">
            <w:pPr>
              <w:pStyle w:val="Hallgatokepzes"/>
            </w:pPr>
            <w:r>
              <w:t>bűnügyi igazgatási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Budaházi Árpád PhD r. százados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nyomozási bíró helye és szerepe a büntetőeljárásban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témájául választott nyomozási bíróra azért esett a választásom, mert a nyomozási bíróról monográfia még nem született, és tanulmányok is csak elvétve foglalkoznak vele.</w:t>
      </w:r>
      <w:r>
        <w:rPr>
          <w:color w:val="000000"/>
          <w:sz w:val="24"/>
          <w:szCs w:val="24"/>
        </w:rPr>
        <w:br/>
        <w:t xml:space="preserve">A dolgozat során bemutatom a nyomozási bírói intézmény történetét, kezdve a vizsgálóbíróval – amire egyfajta történelmi előzményként tekintek - valamint az I. Bp.-vel, egészen a 2003-ban hatályba lépett, jelenlegi büntetőeljárási törvényünkig. Ennek során kitekintek a nemzetközi szabályozásokra is, így Franciaországra, Oroszországra és Németországra.</w:t>
      </w:r>
      <w:r>
        <w:rPr>
          <w:color w:val="000000"/>
          <w:sz w:val="24"/>
          <w:szCs w:val="24"/>
        </w:rPr>
        <w:br/>
        <w:t xml:space="preserve">Bemutatom és elemzem továbbá a nyomozási bíró jelenlegi, és a vizsgálóbíró egykori, 1896-os szabályozását, a rájuk vonatkozó rendelkezéseket, és az általuk végzett feladatokat. Ezen kívül összevetem a két jogintézményt, feltárom a köztük lévő hasonlóságokat és különbségeket. Megvizsgálom, hogy kell-e a mai nyomozási bíró szabályozását közelíteni az egykori vizsgálóbíróéhoz. A dolgozat célja, hogy meghatározza a nyomozási bíró helyét és szerepét a büntetőeljárásban, és megvizsgálja, szükség van-e a nyomozási bírói intézményre.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26316">
    <w:multiLevelType w:val="hybridMultilevel"/>
    <w:lvl w:ilvl="0" w:tplc="68767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26316">
    <w:abstractNumId w:val="33526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384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