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MARTON</w:t>
            </w:r>
          </w:p>
          <w:p w:rsidR="00C275A3" w:rsidRDefault="00A96AEC" w:rsidP="00C275A3">
            <w:pPr>
              <w:pStyle w:val="Hallgatokepzes"/>
            </w:pPr>
            <w:r>
              <w:t>Criminal Administration Management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Árpád Budaházi, PhD.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place and role of inquisitor in the criminal procedure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examine the roles of the investigative judge since its procedural situation does not have proper scientific grounds.</w:t>
      </w:r>
      <w:r>
        <w:rPr>
          <w:color w:val="000000"/>
          <w:sz w:val="24"/>
          <w:szCs w:val="24"/>
        </w:rPr>
        <w:br/>
        <w:t xml:space="preserve">The investigative authority is not directly linked to the investigative judge, however during my future service his decisions inevitably affect the cases I will work on. If we think about it, a great many of the coercive measures cannot be ordered without the adjudication of the investigative judge.</w:t>
      </w:r>
      <w:r>
        <w:rPr>
          <w:color w:val="000000"/>
          <w:sz w:val="24"/>
          <w:szCs w:val="24"/>
        </w:rPr>
        <w:br/>
        <w:t xml:space="preserve">In this paper I intend to present the history of the institution of the investigative judge, starting with the inquisitor, of which I think as a prelude, including the 1st of Budapest, up to our current prosecution act that came into effect in 2003. I also take a wider look at the international regulations, as well as other countries, namely France, The Russian Federation, and Germany.</w:t>
      </w:r>
      <w:r>
        <w:rPr>
          <w:color w:val="000000"/>
          <w:sz w:val="24"/>
          <w:szCs w:val="24"/>
        </w:rPr>
        <w:br/>
        <w:t xml:space="preserve">Furthermore I present and analyze the current regulations of the investigative, and the late regulations of the inquisitor of 1896 and their roles and duties. I conduct a comparative analysis of these two institutions where I highlight the similarities and differences. I also examine if it is necessary to set corrections in the current regulations to make today’s investigative judge more similar to the inquisitor.</w:t>
      </w:r>
      <w:r>
        <w:rPr>
          <w:color w:val="000000"/>
          <w:sz w:val="24"/>
          <w:szCs w:val="24"/>
        </w:rPr>
        <w:br/>
        <w:t xml:space="preserve">These are the questions I would like to answer in my paper.</w:t>
      </w:r>
      <w:r>
        <w:rPr>
          <w:color w:val="000000"/>
          <w:sz w:val="24"/>
          <w:szCs w:val="24"/>
        </w:rPr>
        <w:br/>
        <w:t xml:space="preserve">Also, I have framed some suggestions that could make this institution better.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05545">
    <w:multiLevelType w:val="hybridMultilevel"/>
    <w:lvl w:ilvl="0" w:tplc="96845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05545">
    <w:abstractNumId w:val="11405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231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