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ERIKA EVELIN HERCEG</w:t>
            </w:r>
          </w:p>
          <w:p w:rsidR="00C275A3" w:rsidRDefault="00A96AEC" w:rsidP="00C275A3">
            <w:pPr>
              <w:pStyle w:val="Hallgatokepzes"/>
            </w:pPr>
            <w:r>
              <w:t>Criminal Investigator Tier</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Zsanett Fantoly</w:t>
            </w:r>
          </w:p>
          <w:p w:rsidR="00DB4822" w:rsidRDefault="00DB4822" w:rsidP="00E11062">
            <w:pPr>
              <w:pStyle w:val="Konzulensek"/>
            </w:pPr>
            <w:r w:rsidRPr="00DB4822">
              <w:t>Head of Department,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VERBUM PRO VERBO, OR THE INTERPRETER’S ROLE IN CRIMINAL PROCEEDINGS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Interpreting is perhaps one of the oldest occupations in history. While it appeared almost at the same time as speech, the Hungarian literature on the regulation of language use at the authorities, the relevant practices and the issues of interpreting is rather scanty.</w:t>
      </w:r>
    </w:p>
    <w:p>
      <w:pPr>
        <w:widowControl w:val="on"/>
        <w:pBdr/>
        <w:spacing w:before="240" w:after="240" w:line="240" w:lineRule="auto"/>
        <w:ind w:left="0" w:right="0"/>
        <w:jc w:val="left"/>
      </w:pPr>
      <w:r>
        <w:rPr>
          <w:color w:val="000000"/>
          <w:sz w:val="24"/>
          <w:szCs w:val="24"/>
        </w:rPr>
        <w:t xml:space="preserve">This paper sets out to describe the role of interpretation in criminal proceedings via the use of the mother tongue. Based on statistical data of interpreting and a questionnaire, it is also looking at ways to make interpreting assignments faster and easier in criminal proceedings.</w:t>
      </w:r>
    </w:p>
    <w:p>
      <w:pPr>
        <w:widowControl w:val="on"/>
        <w:pBdr/>
        <w:spacing w:before="240" w:after="240" w:line="240" w:lineRule="auto"/>
        <w:ind w:left="0" w:right="0"/>
        <w:jc w:val="left"/>
      </w:pPr>
      <w:r>
        <w:rPr>
          <w:color w:val="000000"/>
          <w:sz w:val="24"/>
          <w:szCs w:val="24"/>
        </w:rPr>
        <w:t xml:space="preserve">After a short historical overview, it presents the main trends in the development of the codification of Hungarian criminal procedure. It goes on to describe the emergence and evolution of the right to use the mother tongue and the appearance of interpreters from Werbőczi’s Tripartitum to the current criminal procedure law in force.</w:t>
      </w:r>
    </w:p>
    <w:p>
      <w:pPr>
        <w:widowControl w:val="on"/>
        <w:pBdr/>
        <w:spacing w:before="240" w:after="240" w:line="240" w:lineRule="auto"/>
        <w:ind w:left="0" w:right="0"/>
        <w:jc w:val="left"/>
      </w:pPr>
      <w:r>
        <w:rPr>
          <w:color w:val="000000"/>
          <w:sz w:val="24"/>
          <w:szCs w:val="24"/>
        </w:rPr>
        <w:t xml:space="preserve">After a presentation of the laws on interpreting and translation, it sheds some light on the role of interpreters in the European Union and Hungary, and discusses some theoretical and practical issues of interpreting.</w:t>
      </w:r>
    </w:p>
    <w:p>
      <w:pPr>
        <w:widowControl w:val="on"/>
        <w:pBdr/>
        <w:spacing w:before="240" w:after="240" w:line="240" w:lineRule="auto"/>
        <w:ind w:left="0" w:right="0"/>
        <w:jc w:val="left"/>
      </w:pPr>
      <w:r>
        <w:rPr>
          <w:color w:val="000000"/>
          <w:sz w:val="24"/>
          <w:szCs w:val="24"/>
        </w:rPr>
        <w:t xml:space="preserve">This is followed by the most important and lengthiest part of the paper which presents the research findings. The project takes a look at interpreting assignments by the investigation authorities in Hungarian criminal proceedings and illustrates current practices as reflected by a questionnaire.</w:t>
      </w:r>
    </w:p>
    <w:p>
      <w:pPr>
        <w:widowControl w:val="on"/>
        <w:pBdr/>
        <w:spacing w:before="240" w:after="240" w:line="240" w:lineRule="auto"/>
        <w:ind w:left="0" w:right="0"/>
        <w:jc w:val="left"/>
      </w:pPr>
      <w:r>
        <w:rPr>
          <w:color w:val="000000"/>
          <w:sz w:val="24"/>
          <w:szCs w:val="24"/>
        </w:rPr>
        <w:t xml:space="preserve">As a conclusion, it sets forth recommendations for possible ways to appoint interpreters in criminal proceedings and to sustain cooperation.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758804">
    <w:multiLevelType w:val="hybridMultilevel"/>
    <w:lvl w:ilvl="0" w:tplc="279740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758804">
    <w:abstractNumId w:val="68758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10927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