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ANCSIN</w:t>
            </w:r>
          </w:p>
          <w:p w:rsidR="00C275A3" w:rsidRDefault="00A96AEC" w:rsidP="00C275A3">
            <w:pPr>
              <w:pStyle w:val="Hallgatokepzes"/>
            </w:pPr>
            <w:r>
              <w:t>faculty of law</w:t>
            </w:r>
            <w:r>
              <w:br/>
            </w:r>
            <w:r w:rsidR="00E77B23">
              <w:t>Unified, 7.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Mezei Dr.</w:t>
            </w:r>
          </w:p>
          <w:p w:rsidR="00DB4822" w:rsidRDefault="00DB4822" w:rsidP="009763E0">
            <w:pPr>
              <w:pStyle w:val="Konzulensektitulus"/>
            </w:pPr>
            <w:r w:rsidRPr="00DB4822">
              <w:t>associate professor, SZTE ÁJK</w:t>
            </w:r>
          </w:p>
        </w:tc>
      </w:tr>
      <w:tr w:rsidR="00DB4822" w:rsidTr="00DB4822">
        <w:tc>
          <w:tcPr>
            <w:tcW w:w="9854" w:type="dxa"/>
          </w:tcPr>
          <w:p w:rsidR="00DB4822" w:rsidRPr="00DB4822" w:rsidRDefault="00DB4822" w:rsidP="009763E0">
            <w:pPr>
              <w:pStyle w:val="Konzulenseknev"/>
            </w:pPr>
            <w:r w:rsidRPr="00DB4822">
              <w:t>Márton Sulyok Dr.</w:t>
            </w:r>
          </w:p>
          <w:p w:rsidR="00DB4822" w:rsidRDefault="00DB4822" w:rsidP="009763E0">
            <w:pPr>
              <w:pStyle w:val="Konzulensektitulus"/>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freedom of expression on the internet, particulary with the liability of intermediary service providers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the essay was to show the problems of intermediaries’ legal position. The starting point was the case of Delfi AS, in which the European Court of Human Rights (ECHR) based liability for the intermediary services for third-party contents. I found this case really interesting and from it came the idea to make a comparison between the European, the Hungarian and the U.S practice. After analyzing the case of Delfi, I started to diagnose the decision of Constitutional Court of Hungary, which is really similar to the ECHR’s judgment. Moreover, I wanted to find examples which are controversial with the two judgments mentioned above, thus I began to scan the legislature of the United States. I chose several cases in this topic and I realized that there is a huge difference between European and U.S jurisdiction, primarily by reason of the First Amendment, which has a huge importance in the American constitutional environment and legal culture. One of my main aims was to write a complex exposé about the subject, so I expanded the essay with the right to internet access, the anonymous commenting in the context of internet and the position of search engines, like Google.</w:t>
      </w:r>
      <w:r>
        <w:rPr>
          <w:color w:val="000000"/>
          <w:sz w:val="24"/>
          <w:szCs w:val="24"/>
        </w:rPr>
        <w:br/>
        <w:t xml:space="preserve">In the first part, there is an analysis of the right to Internet access with cases and examples from all over the world. I made a recommendation for the optional Hungarian regulation, which could allow more person to connect to the internet. Furthermore in the next part, you can read about the problems of comments made by anonym users, and I introduce the two, nowadays functioning, European models about preventing damages from the anonymous postings. In this section, I point out that it can be really harmful for freedom of expression, if the intermediary service provider stores our data when we share opinions.</w:t>
      </w:r>
      <w:r>
        <w:rPr>
          <w:color w:val="000000"/>
          <w:sz w:val="24"/>
          <w:szCs w:val="24"/>
        </w:rPr>
        <w:br/>
        <w:t xml:space="preserve">The main and the most important part of the essay is the third section. This contains a long discussion about the liability of intermediary services, in comparison with the U.S. and the European jurisdiction. I introduce the case of Delfi there and I bring several cases from U.S. jurisdiction to show the most relevant differences. In this part, there is a dissection about the liability of search engines as well, and I analyzed the famous „right to be forgotten” formula, which can cause controversial judgments, because the decision of European Court of Justice did not clarify when exactly should apply the formula and when should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86089">
    <w:multiLevelType w:val="hybridMultilevel"/>
    <w:lvl w:ilvl="0" w:tplc="27388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86089">
    <w:abstractNumId w:val="79186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799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