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DOBRODINSZKY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Gellén</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Péter Mezei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"Anything your commenters say can be held against You..." - Who should be liable for online comments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As a consequence of the technical innovations of the 21st century the opportunities provided by the introduction of World Wide Web, violations concerning one's privacy rights appeared not only in the context of online articles but in the attached comments as well. </w:t>
      </w:r>
    </w:p>
    <w:p>
      <w:pPr>
        <w:widowControl w:val="on"/>
        <w:pBdr/>
        <w:spacing w:before="240" w:after="240" w:line="240" w:lineRule="auto"/>
        <w:ind w:left="0" w:right="0"/>
        <w:jc w:val="left"/>
      </w:pPr>
      <w:r>
        <w:rPr>
          <w:color w:val="000000"/>
          <w:sz w:val="24"/>
          <w:szCs w:val="24"/>
        </w:rPr>
        <w:t xml:space="preserve">The collision of the two fundamental rights may not seem to be novelty, but I believe that new technical resources require new perspectives of view. Therefore in my work, I try to give a brief guidance in this vague labyrinth of comments. </w:t>
      </w:r>
    </w:p>
    <w:p>
      <w:pPr>
        <w:widowControl w:val="on"/>
        <w:pBdr/>
        <w:spacing w:before="240" w:after="240" w:line="240" w:lineRule="auto"/>
        <w:ind w:left="0" w:right="0"/>
        <w:jc w:val="left"/>
      </w:pPr>
      <w:r>
        <w:rPr>
          <w:color w:val="000000"/>
          <w:sz w:val="24"/>
          <w:szCs w:val="24"/>
        </w:rPr>
        <w:t xml:space="preserve">Firstly, I reveal the judgement of the European Court of Human Rights set in Delfi AS v. Estonia, which can be considered as precedent, for it had a profound effect on Hungarian legal practice as well, which crystallized in the 19/2014.(V.30.) decision of the Hungarian Constitutional Court. This regulation has made such a sharp distinction compared to the years before 2014 that I find it necessary to present the before and after periods separately. Along with domestic affairs I considered it essential to overview the legal practice of the United Kingdom, where recently an exemplary model has been established. </w:t>
      </w:r>
    </w:p>
    <w:p>
      <w:pPr>
        <w:widowControl w:val="on"/>
        <w:pBdr/>
        <w:spacing w:before="240" w:after="240" w:line="240" w:lineRule="auto"/>
        <w:ind w:left="0" w:right="0"/>
        <w:jc w:val="left"/>
      </w:pPr>
      <w:r>
        <w:rPr>
          <w:color w:val="000000"/>
          <w:sz w:val="24"/>
          <w:szCs w:val="24"/>
        </w:rPr>
        <w:t xml:space="preserve">My primary aim is to provide a detailed summary about the liability of harmful comments directed against privacy rights, liability provisions currently in force and domestic trends; and to compare the legal tendencies and instructive case law with the legal system of a country that I find exemplary. </w:t>
      </w:r>
    </w:p>
    <w:p>
      <w:pPr>
        <w:widowControl w:val="on"/>
        <w:pBdr/>
        <w:spacing w:before="240" w:after="240" w:line="240" w:lineRule="auto"/>
        <w:ind w:left="0" w:right="0"/>
        <w:jc w:val="left"/>
      </w:pPr>
      <w:r>
        <w:rPr>
          <w:color w:val="000000"/>
          <w:sz w:val="24"/>
          <w:szCs w:val="24"/>
        </w:rPr>
        <w:t xml:space="preserve">Finally, after concluding a synthesis and including my own ideas as well, I would like to make optional proposals for alternative regulations by adopting the outlined cases. Additionally, my plan is to reduce the likelihood of pitfalls in the future to the minimum.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09803">
    <w:multiLevelType w:val="hybridMultilevel"/>
    <w:lvl w:ilvl="0" w:tplc="80964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09803">
    <w:abstractNumId w:val="79709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525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