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SZAKÁCS</w:t>
            </w:r>
          </w:p>
          <w:p w:rsidR="00C275A3" w:rsidRDefault="00A96AEC" w:rsidP="00C275A3">
            <w:pPr>
              <w:pStyle w:val="Hallgatokepzes"/>
            </w:pPr>
            <w:r>
              <w:t>chemical engineer</w:t>
            </w:r>
            <w:r>
              <w:br/>
            </w:r>
            <w:r w:rsidR="00E77B23">
              <w:t>MSc, 3.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Miklós Kubinyi PhD.</w:t>
            </w:r>
          </w:p>
          <w:p w:rsidR="00DB4822" w:rsidRDefault="00DB4822" w:rsidP="00BA6BAF">
            <w:pPr>
              <w:pStyle w:val="Konzulensektitulus"/>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Photochemical properties of 4’-diethylamino-3-hydroxyflavone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photolysis; reaction mechanism; ESIPT; fluorescent sensor</w:t>
      </w:r>
      <w:r>
        <w:t xml:space="preserve"/>
      </w:r>
    </w:p>
    <w:p>
      <w:pPr>
        <w:widowControl w:val="on"/>
        <w:pBdr/>
        <w:spacing w:before="240" w:after="240" w:line="240" w:lineRule="auto"/>
        <w:ind w:left="0" w:right="0"/>
        <w:jc w:val="left"/>
      </w:pPr>
      <w:r>
        <w:rPr>
          <w:color w:val="000000"/>
          <w:sz w:val="24"/>
          <w:szCs w:val="24"/>
        </w:rPr>
        <w:t xml:space="preserve">Many 3-hydroxyflavone derivatives are important fluorescent dye probes for studying biomolecular interactions. Their emission spectra include two bands, one arising from their normal (N*), the other from their tautomeric (T*) excited state, the latter formed via excited state proton transfer (ESIPT) from the N* species. The extent of ESIPT in such dyes is sensitive to the molecular environment, hence the intensity ratio of their two fluorescence bands provides information on the change of the molecular environment. With respect to the importance of the photostability of fluorescent dye probes, the photolysis reactions of 3-hydroxyflavones is widely studied.</w:t>
      </w:r>
    </w:p>
    <w:p>
      <w:pPr>
        <w:widowControl w:val="on"/>
        <w:pBdr/>
        <w:spacing w:before="240" w:after="240" w:line="240" w:lineRule="auto"/>
        <w:ind w:left="0" w:right="0"/>
        <w:jc w:val="left"/>
      </w:pPr>
      <w:r>
        <w:rPr>
          <w:color w:val="000000"/>
          <w:sz w:val="24"/>
          <w:szCs w:val="24"/>
        </w:rPr>
        <w:drawing>
          <wp:inline distT="0" distB="0" distL="0" distR="0">
            <wp:extent cx="3873600" cy="1411200"/>
            <wp:docPr id="38631271" name="name154f327c0131ce" descr="imgtmp_31540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540_int_1.png"/>
                    <pic:cNvPicPr/>
                  </pic:nvPicPr>
                  <pic:blipFill>
                    <a:blip r:embed="rId154f327c013170" cstate="print"/>
                    <a:stretch>
                      <a:fillRect/>
                    </a:stretch>
                  </pic:blipFill>
                  <pic:spPr>
                    <a:xfrm>
                      <a:off x="0" y="0"/>
                      <a:ext cx="3873600" cy="14112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In the present work the photochemical properties of 4’-diethylamino-3-hydroxyflavone (DHF) have been investigated, involving the ESIPT process in this dye and its conversion under UV irradiation. The reaction of the Mg2+ and Ca 2+ complexes of the dye have also been studied.</w:t>
      </w:r>
      <w:r>
        <w:rPr>
          <w:color w:val="000000"/>
          <w:sz w:val="24"/>
          <w:szCs w:val="24"/>
        </w:rPr>
        <w:br/>
        <w:t xml:space="preserve">By former papers on the photolysis of the 3-hydroxyflavone parent compound, its UV irradiation leads to a photorearrangement in the absence of metal ions, whereas its metal complexes undergo a photooxidation reaction, accompanied by the loss of a CO unit. In case of the photolysis of DHF we observed the photooxidation of the dye, i.e. the diethylamino substituent on 3-hydroxyflavone changed the type of the photochemical reaction.</w:t>
      </w:r>
    </w:p>
    <w:p>
      <w:pPr>
        <w:widowControl w:val="on"/>
        <w:pBdr/>
        <w:spacing w:before="240" w:after="240" w:line="240" w:lineRule="auto"/>
        <w:ind w:left="0" w:right="0"/>
        <w:jc w:val="left"/>
      </w:pPr>
      <w:r>
        <w:rPr>
          <w:color w:val="000000"/>
          <w:sz w:val="24"/>
          <w:szCs w:val="24"/>
        </w:rPr>
        <w:drawing>
          <wp:inline distT="0" distB="0" distL="0" distR="0">
            <wp:extent cx="3189600" cy="964800"/>
            <wp:docPr id="97304318" name="name154f327c0134e7" descr="imgtmp_31540_in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540_int_2.png"/>
                    <pic:cNvPicPr/>
                  </pic:nvPicPr>
                  <pic:blipFill>
                    <a:blip r:embed="rId154f327c013494" cstate="print"/>
                    <a:stretch>
                      <a:fillRect/>
                    </a:stretch>
                  </pic:blipFill>
                  <pic:spPr>
                    <a:xfrm>
                      <a:off x="0" y="0"/>
                      <a:ext cx="3189600" cy="964800"/>
                    </a:xfrm>
                    <a:prstGeom prst="rect">
                      <a:avLst/>
                    </a:prstGeom>
                    <a:ln w="0">
                      <a:noFill/>
                    </a:ln>
                  </pic:spPr>
                </pic:pic>
              </a:graphicData>
            </a:graphic>
          </wp:inline>
        </w:drawing>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20994">
    <w:multiLevelType w:val="hybridMultilevel"/>
    <w:lvl w:ilvl="0" w:tplc="91987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20994">
    <w:abstractNumId w:val="27120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033236" Type="http://schemas.openxmlformats.org/officeDocument/2006/relationships/numbering" Target="numbering.xml"/><Relationship Id="rId154f327c013170" Type="http://schemas.openxmlformats.org/officeDocument/2006/relationships/image" Target="media/imgrId154f327c013170.png"/><Relationship Id="rId154f327c013494" Type="http://schemas.openxmlformats.org/officeDocument/2006/relationships/image" Target="media/imgrId154f327c01349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