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FERENC SIMON</w:t>
            </w:r>
          </w:p>
          <w:p w:rsidR="00C275A3" w:rsidRDefault="00A96AEC" w:rsidP="00C275A3">
            <w:pPr>
              <w:pStyle w:val="Hallgatokepzes"/>
            </w:pPr>
            <w:r>
              <w:t>MSc in Chemical Engineering</w:t>
            </w:r>
            <w:r>
              <w:br/>
            </w:r>
            <w:r w:rsidR="00E77B23">
              <w:t>MSc, 1. semester</w:t>
            </w:r>
          </w:p>
          <w:p w:rsidR="00C265CE" w:rsidRPr="009E5FF1" w:rsidRDefault="00E77B23" w:rsidP="00BA6BAF">
            <w:pPr>
              <w:pStyle w:val="Hallgatointezmeny-kar"/>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Róbert E. Gyurcsányi</w:t>
            </w:r>
          </w:p>
          <w:p w:rsidR="00DB4822" w:rsidRDefault="00DB4822" w:rsidP="00BA6BAF">
            <w:pPr>
              <w:pStyle w:val="Konzulensektitulus"/>
            </w:pPr>
            <w:r w:rsidRPr="00DB4822">
              <w:t> associate 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Reliable microspotting methodology for high hybridization efficiency peptide-nucleic acid arrays on biochips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surface plasmon-resonance imaging; receptor-density; microRNA biomarker; selective detection; reverse-kinetic</w:t>
      </w:r>
      <w:r>
        <w:t xml:space="preserve"/>
      </w:r>
    </w:p>
    <w:p>
      <w:pPr>
        <w:widowControl w:val="on"/>
        <w:pBdr/>
        <w:spacing w:before="240" w:after="240" w:line="240" w:lineRule="auto"/>
        <w:ind w:left="0" w:right="0"/>
        <w:jc w:val="left"/>
      </w:pPr>
      <w:r>
        <w:rPr>
          <w:color w:val="000000"/>
          <w:sz w:val="24"/>
          <w:szCs w:val="24"/>
        </w:rPr>
        <w:t xml:space="preserve">Nowadays, there is an increasing demand for the different types of receptors, wich can selectively detect biomarkers, for the determination of the binding kinetics of the target molecules, in order to optimize the further bioanalytical application. The purpose of our research group in this field is to develop a new sensor for the new type of biomarker-family, so-called microRNA. The microRNAs are present in a very low concentration in the circulatory system, therefore it is needed a high affinity receptor to detect them, but the natural oligonucleotide probes are not suitable for the purpose.</w:t>
      </w:r>
    </w:p>
    <w:p>
      <w:pPr>
        <w:widowControl w:val="on"/>
        <w:pBdr/>
        <w:spacing w:before="240" w:after="240" w:line="240" w:lineRule="auto"/>
        <w:ind w:left="0" w:right="0"/>
        <w:jc w:val="left"/>
      </w:pPr>
      <w:r>
        <w:rPr>
          <w:color w:val="000000"/>
          <w:sz w:val="24"/>
          <w:szCs w:val="24"/>
        </w:rPr>
        <w:t xml:space="preserve">During my research work I studied the hybridization properties of the artificial oligonucleotide analog, namely peptide nucleic acid (PNA) probe with imaging surface plasmon-resonance (iSPR) method. In the PNA probes the bases are attached to a peptide backbone (aminoethylglycine). The immediate consequence of the replacement of the (deoxy)ribose phosphodiester backbone is that PNA lacks the negative charges of natural nucleic acids and although it is generally considered to be neutral, in fact, it is slightly positively charged at physiological pH. This provides clear advantages in hybridization assays as there is no charge repulsion between the PNA and it’s complementary nucleic acid strands. The phenomenon, when the PNA probes are non-specifically adsorbed on the surface, reducing the efficiency of hybridization and this requires the optimization of surface density and immobilization conditions. To solve this problem, our research group has developed a new type of immobilization techniques. Our hypothesis was that using thiol labeled PNA strands prehybridized with complementary DNA instead of ssPNA strands will automatically adjust the optimal surface concentration for hybridization. Thus increase the hybridization efficiency and can decrease the detection limit of microRNAs. Moreover, we assumed that the non-specific surface adsorption of PNA strands on gold will be less of a problem if their duplex with DNAs are used for surface modification. Additionally, we can detemined the density of PNA probes on the surface. Due to this, the maximum value of the refractive index change is available (R</w:t>
      </w:r>
      <w:r>
        <w:rPr>
          <w:color w:val="000000"/>
          <w:position w:val="-4"/>
          <w:sz w:val="21"/>
          <w:szCs w:val="21"/>
          <w:vertAlign w:val="subscript"/>
        </w:rPr>
        <w:t xml:space="preserve">max</w:t>
      </w:r>
      <w:r>
        <w:rPr>
          <w:color w:val="000000"/>
          <w:sz w:val="24"/>
          <w:szCs w:val="24"/>
        </w:rPr>
        <w:t xml:space="preserve">), so a greater accuracy can be calculated for the kinetic rate constants and the dissociation constant as well. After optimization of the immobilization technique, I investigated a new type, so-called reverse-kinetic method in the determination of the equilibrium parameters.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258670">
    <w:multiLevelType w:val="hybridMultilevel"/>
    <w:lvl w:ilvl="0" w:tplc="795975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258670">
    <w:abstractNumId w:val="352586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68400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