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DÁVID BARNABÁS</w:t>
            </w:r>
          </w:p>
          <w:p w:rsidR="00C275A3" w:rsidRDefault="00A96AEC" w:rsidP="00C275A3">
            <w:pPr>
              <w:pStyle w:val="Hallgatokepzes"/>
            </w:pPr>
            <w:r>
              <w:t>Gyógyszervegyész-mérnöki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 György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osztályvezető,  Richter Gedeon Nyrt.​, 1103 Budapest, Gyömrői út 19-21.
Szintézistámogató Laboratórium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szövetspecifikus in vitro permeabilitási modell kidolgozása gyógyszerhatóanyagok eloszlásának előrejelzésére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gyógyszerkutatás; farmakokinetika; PAMPA; foszfolipid; ADME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gyógyszerkutatásban az elmúlt húsz évben bekövetkezett stratégiaváltásnak köszönhetően egyre nagyobb szerephez jutott a hatóanyagjelölt vegyületek fizikai-kémiai jellemzése. Célja az egyes molekulák oldhatósági, lipofilitási, ionizációs, továbbá a permeabilitási sajátosságainak megismerése. A felsorolt tulajdonságok ismeretében lehetőségünk van a hatóanyagjelölt vegyületek szervezetbeni sorsának előrejelzésére. Az egyes szövetekre/szervekre vonatkoztatva a hatóanyagok eloszlása nem egyenletes. Ennél fogva a vegyület fizikai-kémiai tulajdonságai, továbbá az egyes szövetek sajátosságai meghatározzák, hogy egyes szövetekben nagyobb mennyiségben halmozódhat fel a hatóanyag, mint máshol. A szöveten belüli akkumuláció toxikus hatás kialakulásának lehet a kiindulópontja.</w:t>
      </w:r>
      <w:r>
        <w:rPr>
          <w:color w:val="000000"/>
          <w:sz w:val="24"/>
          <w:szCs w:val="24"/>
        </w:rPr>
        <w:br/>
        <w:t xml:space="preserve">A gyógyszerek felszívódását, sejtmembránon való átjutását legjobban a permeabilitással lehet leírni. A gyógyszerkutatásban a hatóanyag felszívódásának előrejelzésére egyik általánosan alkalmazott nem-sejtes alapú in vitro vizsgálat a PAMPA (Parallel artificial membrane permeability assay) permeabilitás modell. Munkánk során vizsgálataink kiterjednek a vér-agy gát, a máj, a szív, a tüdő, és a vese szöveti megoszlásának modellezésére PAMPA módszerrel.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967291">
    <w:multiLevelType w:val="hybridMultilevel"/>
    <w:lvl w:ilvl="0" w:tplc="442256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967291">
    <w:abstractNumId w:val="879672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82724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