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DÓRA</w:t>
            </w:r>
          </w:p>
          <w:p w:rsidR="00C275A3" w:rsidRDefault="00A96AEC" w:rsidP="00C275A3">
            <w:pPr>
              <w:pStyle w:val="Hallgatokepzes"/>
            </w:pPr>
            <w:r>
              <w:t>Biomérnöki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Zalai Dénes</w:t>
            </w:r>
          </w:p>
          <w:p w:rsidR="00DB4822" w:rsidRDefault="00DB4822" w:rsidP="00E11062">
            <w:pPr>
              <w:pStyle w:val="Konzulensek"/>
            </w:pPr>
            <w:r w:rsidRPr="00DB4822">
              <w:t>Kutató-fejlesztő,  Richter Gedeon Vegyészeti Gyár Nyrt.​, Biotechnológiai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Monoklonális antitest-termelő CHO sejtvonalak produktivitásának kontrollálása különböző rátáplálási stratégiák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fed-batch;bioreaktor;emlőssejt;kínai hörcsög petefészeksejt;specifikus produktivitás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évtizedben jelentősen megnőtt a terápiás célú rekombináns fehérjék iránti kereslet. Az iparban ezen fehérjetermékek mintegy 70%-át CHO sejtekkel termeltetik. A CHO sejtek által termelt fehérjék terápiás célú felhasználhatósága jól ismert, azonban a gyártásukra vonatkozó folyamatos technológia-fejlesztés gazdasági szempontból kívánatos. A cél minél nagyobb termékhozam elérése a termékek minőségének romlása nélkül.</w:t>
      </w:r>
      <w:r>
        <w:rPr>
          <w:color w:val="000000"/>
          <w:sz w:val="24"/>
          <w:szCs w:val="24"/>
        </w:rPr>
        <w:br/>
        <w:t xml:space="preserve">A tenyésztési körülmények optimalizálásával és megfelelő feed-stratégia kidolgozásával szabályozhatóvá válhat a termelő produktivitása, ami igen nagy jelentőséggel bír a rekombináns fehérjegyártás területén. Munkánk során egy CHO sejtvonal két klónját (a és b) vizsgáltuk fed-batch tenyészetekben. Két kísérleti körben 7 kísérletet végeztünk 1 liter hasznos térfogatú bioreaktorban. Célunk a két klón fiziológiájának és produktivitásának összehasonlítása volt, továbbá megvizsgáltuk két különböző rátáplálási stratégia (szakaszos vs. folytonos) hatását a tenyészetekre. Célunk volt továbbá a sejtek specifikus produktivitásának (qp) befolyásolása aminosav-limitáció célzott kiváltásával.</w:t>
      </w:r>
      <w:r>
        <w:rPr>
          <w:color w:val="000000"/>
          <w:sz w:val="24"/>
          <w:szCs w:val="24"/>
        </w:rPr>
        <w:br/>
        <w:t xml:space="preserve">Az első kísérleti körben megtörtént a két klón fiziológiájának és a rátáplálási stratégiáknak az összehasonlítása. Az esszenciális aminosavakat tartalmazó oldat folytonos rátáplálásával magasabb értéken sikerült tartani a tenyészetek produktivitását, mint az oldat szakaszos adagolásával, mely esetben a specifikus produktivitás csökkenését tapasztaltuk, amit az ozmolalitás ugrásszerű növekedése okozhatott.</w:t>
      </w:r>
      <w:r>
        <w:rPr>
          <w:color w:val="000000"/>
          <w:sz w:val="24"/>
          <w:szCs w:val="24"/>
        </w:rPr>
        <w:br/>
        <w:t xml:space="preserve">A második kísérleti körben a qp befolyásolása érdekében az esszenciális aminosavak koncentrációját az adagoló pumpa fordulatszámának változtatásával szabályoztuk a reaktorokban. Ezekben a kísérletekben már csak folytonos rátáplálást alkalmaztunk. A kísérletek során a sejtlégzés indikátoraként on-line követtük nyomon az O2 MFC jelet, és ezen indikátor jel alapján dinamikusan változtattuk a pumpák fordulatszámát. Az O2 MFC jel görbék a qp görbékkel hasonló trend szerint futottak, a görbék csökkenését feltételezhetően egy esszenciális aminosav, a tirozin kimerülése okozhatta. Ezt a feltételezést NMR módszerrel sikerült igazolnunk. Az esszenciális aminosavak rátáplálásának változtatásával így az egyik klón esetében (a) sikerült először lecsökkenteni, majd újra megnövelni a qp-t.</w:t>
      </w:r>
      <w:r>
        <w:rPr>
          <w:color w:val="000000"/>
          <w:sz w:val="24"/>
          <w:szCs w:val="24"/>
        </w:rPr>
        <w:br/>
        <w:t xml:space="preserve">Összefoglalva elmondható, hogy tápanyag limitációval sikerült kialakítanunk egy olyan rátáplálási-stratégiát, mellyel kontrollálható a qp az a klón esetén, fed-batch tenyészetben.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36695">
    <w:multiLevelType w:val="hybridMultilevel"/>
    <w:lvl w:ilvl="0" w:tplc="26461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36695">
    <w:abstractNumId w:val="337366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53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