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BORBÁS</w:t>
            </w:r>
          </w:p>
          <w:p w:rsidR="00C275A3" w:rsidRDefault="00A96AEC" w:rsidP="00C275A3">
            <w:pPr>
              <w:pStyle w:val="Hallgatokepzes"/>
            </w:pPr>
            <w:r>
              <w:t>Chemical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Zsombor K. Nagy</w:t>
            </w:r>
          </w:p>
          <w:p w:rsidR="00DB4822" w:rsidRDefault="00DB4822" w:rsidP="00E11062">
            <w:pPr>
              <w:pStyle w:val="Konzulensek"/>
            </w:pPr>
            <w:r w:rsidRPr="00DB4822">
              <w:t>assistant lecturer, BME VBK</w:t>
            </w:r>
          </w:p>
        </w:tc>
      </w:tr>
      <w:tr w:rsidR="00DB4822" w:rsidTr="00DB4822">
        <w:tc>
          <w:tcPr>
            <w:tcW w:w="9854" w:type="dxa"/>
          </w:tcPr>
          <w:p w:rsidR="00DB4822" w:rsidRPr="00DB4822" w:rsidRDefault="00DB4822" w:rsidP="004D7940">
            <w:pPr>
              <w:pStyle w:val="Konzulensek"/>
            </w:pPr>
            <w:r w:rsidRPr="00DB4822">
              <w:t>Dr. György Marosi</w:t>
            </w:r>
          </w:p>
          <w:p w:rsidR="00DB4822" w:rsidRDefault="00DB4822" w:rsidP="00E11062">
            <w:pPr>
              <w:pStyle w:val="Konzulensek"/>
            </w:pPr>
            <w:r w:rsidRPr="00DB4822">
              <w:t>professor, BME VBK</w:t>
            </w:r>
          </w:p>
        </w:tc>
      </w:tr>
      <w:tr w:rsidR="00DB4822" w:rsidTr="00DB4822">
        <w:tc>
          <w:tcPr>
            <w:tcW w:w="9854" w:type="dxa"/>
          </w:tcPr>
          <w:p w:rsidR="00DB4822" w:rsidRPr="00DB4822" w:rsidRDefault="00DB4822" w:rsidP="004D7940">
            <w:pPr>
              <w:pStyle w:val="Konzulensek"/>
            </w:pPr>
            <w:r w:rsidRPr="00DB4822">
              <w:t>Dr. György T. Balogh</w:t>
            </w:r>
          </w:p>
          <w:p w:rsidR="00DB4822" w:rsidRDefault="00DB4822" w:rsidP="00E11062">
            <w:pPr>
              <w:pStyle w:val="Konzulensek"/>
            </w:pPr>
            <w:r w:rsidRPr="00DB4822">
              <w:t>head of department,  Chemical Works of Gedeon Richter Plc.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Formulation of antipsychotic drugs and the development of their in vitro analytical measurements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electrospinning, dissolution-absorption tests, biorelevance, pharmaceutical technology, permeability</w:t>
      </w:r>
      <w:r>
        <w:t xml:space="preserve"/>
      </w:r>
    </w:p>
    <w:p>
      <w:pPr>
        <w:widowControl w:val="on"/>
        <w:pBdr/>
        <w:spacing w:before="240" w:after="240" w:line="240" w:lineRule="auto"/>
        <w:ind w:left="0" w:right="0"/>
        <w:jc w:val="left"/>
      </w:pPr>
      <w:r>
        <w:rPr>
          <w:color w:val="000000"/>
          <w:sz w:val="24"/>
          <w:szCs w:val="24"/>
        </w:rPr>
        <w:t xml:space="preserve">Dissolution enhancement of BCS II classified (poorly water soluble, but highly permeable) drugs is one of the most pressing pharmaceutical challenges, because most of the newly discovered active pharmaceutical ingredients (API) have poor water solubility. Our goal was to improve the bioavailability of our model antipsychotic drugs by enhancing their dissolution. Cyclodextrins were added to the formulation, as solubilizing agents, and solvent based electrospinning was used as a formulation method.</w:t>
      </w:r>
      <w:r>
        <w:rPr>
          <w:color w:val="000000"/>
          <w:sz w:val="24"/>
          <w:szCs w:val="24"/>
        </w:rPr>
        <w:br/>
        <w:t xml:space="preserve">In case of schizophrenia and bipolar depression, the treatment often cannot be completed because of the poor patient compliance, furthermore the swallowing of the pills can be problematic for children and elderly people too. Considering the patient’s needs World Health Organization (WHO) has recognised the need for new delivery methods, this is one of the reasons why we have chosen to create an orally fast dissolving drug delivery system to ensure the proper and painless delivery of antipsychotic drugs.</w:t>
      </w:r>
      <w:r>
        <w:rPr>
          <w:color w:val="000000"/>
          <w:sz w:val="24"/>
          <w:szCs w:val="24"/>
        </w:rPr>
        <w:br/>
        <w:t xml:space="preserve">The fast dissolution and absorption of the drug from these formulations is essential. Though the results of dissolution tests do not always correlate with the bioavailability, still the dissolution tests are in the industrial protocol. The reason for the lack of the correlation might be, that the additives, such as polymers and cyclodextrins, can have an either positive or negative influence on the transport of the drug molecules through the biological membranes. This is the reason why we used a novel in vitro method to simultaneously test dissolution and absorption of the active pharmaceutical ingredients.This novel technique has the potential to predict in vivo bioavailability, reducing the number of experiments needed on animals.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14741">
    <w:multiLevelType w:val="hybridMultilevel"/>
    <w:lvl w:ilvl="0" w:tplc="67006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14741">
    <w:abstractNumId w:val="241147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943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