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DÁVID ILLÉS</w:t>
            </w:r>
          </w:p>
          <w:p w:rsidR="00C275A3" w:rsidRDefault="00A96AEC" w:rsidP="00C275A3">
            <w:pPr>
              <w:pStyle w:val="Hallgatokepzes"/>
            </w:pPr>
            <w:r>
              <w:t>Gyógyszervegyész-mérnök MSc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Vegyészmérnöki és Biomérnöki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Keglevich György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BME VBK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Grün Alajos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BME VBK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Benzidronát szintézisének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biszfoszfonát, hatékony előállítás, optimalizálás, foszforossav, foszfor-triklorid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       Biszfoszfonátokat posztmenopauzás oszteoporózis (csontritkulás), Paget-kór, és tumorindukált hypercalcaemia kezelésére alkalmazzák, de újabban egyre több adat szól a direkt daganat (mell, prosztata) és parazitaellenes hatásukról is, továbbá csökkentik a HIV-vírus egyes gyógyszerekkel szemben mutatott rezisztenciáját, így egyre növekszik irántuk az érdeklődés.</w:t>
      </w:r>
      <w:r>
        <w:rPr>
          <w:color w:val="000000"/>
          <w:sz w:val="24"/>
          <w:szCs w:val="24"/>
        </w:rPr>
        <w:br/>
        <w:t xml:space="preserve">          Kutatómunkám során az 1-hidroxi-2-feniletilidén-1,1-bisz(foszfonsav), illetve nátrium sójának (benzidronsav, illetve benzidronát) az előállításával foglalkoztam.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                           </w:t>
      </w:r>
      <w:r>
        <w:rPr>
          <w:color w:val="000000"/>
          <w:sz w:val="24"/>
          <w:szCs w:val="24"/>
        </w:rPr>
        <w:drawing>
          <wp:inline distT="0" distB="0" distL="0" distR="0">
            <wp:extent cx="3592800" cy="1245600"/>
            <wp:docPr id="79398637" name="name154ed99b05ca7f" descr="imgtmp_31586_hu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31586_hu_1.png"/>
                    <pic:cNvPicPr/>
                  </pic:nvPicPr>
                  <pic:blipFill>
                    <a:blip r:embed="rId154ed99b05ca2b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92800" cy="1245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       Benzidronsav/benzidronát esetén az irodalomban leírt eljárások döntő része az Arbuzov-reakción alapul (α-ketofoszfonát előállítása, majd egy P-species addíciója az oxocsoportra), és nem vizsgálták a többi dronát előállításánál leggyakoribb szintézis utat, a megfelelő karbonsavból foszfor-trikloriddal és foszforossavval történő előállítást. Célunk a Tanszéken kifejlesztett módszer kiterjesztése</w:t>
      </w:r>
      <w:r>
        <w:rPr>
          <w:color w:val="000000"/>
          <w:position w:val="4"/>
          <w:sz w:val="21"/>
          <w:szCs w:val="21"/>
          <w:vertAlign w:val="superscript"/>
        </w:rPr>
        <w:t xml:space="preserve">1,2</w:t>
      </w:r>
      <w:r>
        <w:rPr>
          <w:color w:val="000000"/>
          <w:sz w:val="24"/>
          <w:szCs w:val="24"/>
        </w:rPr>
        <w:t xml:space="preserve"> volt, egy hatékony, magas termelést biztosító szintézis kidolgozása a reagensek optimális arányának felderítésével. A korábbi tanszéki tapasztalatok alapján a dronsavak/dronátok előállítására az egyedül foszfor-trikloridot alkalmazó eljárás vált be legjobban, ezt kívántuk megvizsgálni benzidronát esetében is. Elsősorban a fenilecetsavból kiinduló eljárást vizsgáltuk, de tanulmányoztuk a fenilecetsav kloridból és fenilecetsav etilészterből történő előállítás lehetőségeit is. Új megfigyelés a foszforossav pozitív hatása a termelésre, amely eddig a tanszéken vizsgált egyik biszfoszfonát előállításakor sem volt tapasztalható metánszulfonsav oldószer használata esetén.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1. Gy. Keglevich, A. Grün, K. Aradi, S. Garadnay, I. Greiner; Tetrahedron Lett., 2011, 52, 2744-2746.</w:t>
      </w:r>
      <w:r>
        <w:rPr>
          <w:color w:val="000000"/>
          <w:sz w:val="24"/>
          <w:szCs w:val="24"/>
        </w:rPr>
        <w:br/>
        <w:t xml:space="preserve">2. R. Kovács, A. Grün, S. Garadnay, I. Greiner, Gy. Keglevich; Green Proc. Synth., 2014, 3, 111-116.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8659462">
    <w:multiLevelType w:val="hybridMultilevel"/>
    <w:lvl w:ilvl="0" w:tplc="444832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8659462">
    <w:abstractNumId w:val="3865946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11828436" Type="http://schemas.openxmlformats.org/officeDocument/2006/relationships/numbering" Target="numbering.xml"/><Relationship Id="rId154ed99b05ca2b" Type="http://schemas.openxmlformats.org/officeDocument/2006/relationships/image" Target="media/imgrId154ed99b05ca2b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