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KŐRÖSI</w:t>
            </w:r>
          </w:p>
          <w:p w:rsidR="00C275A3" w:rsidRDefault="00A96AEC" w:rsidP="00C275A3">
            <w:pPr>
              <w:pStyle w:val="Hallgatokepzes"/>
            </w:pPr>
            <w:r>
              <w:t>MSc in Chemical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Edit Székely</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the solubility power in a diastereomeric salt in supercritical carbon dioxide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2-methoxy-2-phenylacetic acid; antisolvent; chiral resolution; method development; sampling process</w:t>
      </w:r>
      <w:r>
        <w:t xml:space="preserve"/>
      </w:r>
    </w:p>
    <w:p>
      <w:pPr>
        <w:widowControl w:val="on"/>
        <w:pBdr/>
        <w:spacing w:before="240" w:after="240" w:line="240" w:lineRule="auto"/>
        <w:ind w:left="0" w:right="0"/>
        <w:jc w:val="left"/>
      </w:pPr>
      <w:r>
        <w:rPr>
          <w:color w:val="000000"/>
          <w:sz w:val="24"/>
          <w:szCs w:val="24"/>
        </w:rPr>
        <w:t xml:space="preserve">Supercritical carbon dioxide could be an environmentally benign alternative for the organic solvents used in great quantities nowadays. The relatively big expenses of the processes involving supercritical carbon dioxide are balanced by the excellent quality and purity of the obtained products. The separation of the enantiomers of some chiral compounds is a very important task due to their different biological effects.</w:t>
      </w:r>
    </w:p>
    <w:p>
      <w:pPr>
        <w:widowControl w:val="on"/>
        <w:pBdr/>
        <w:spacing w:before="240" w:after="240" w:line="240" w:lineRule="auto"/>
        <w:ind w:left="0" w:right="0"/>
        <w:jc w:val="left"/>
      </w:pPr>
      <w:r>
        <w:rPr>
          <w:color w:val="000000"/>
          <w:sz w:val="24"/>
          <w:szCs w:val="24"/>
        </w:rPr>
        <w:t xml:space="preserve">During my laboratory work, I developed a method for the resolution of 2-methoxy-2-phenylacetic acid with 1-cyclohexyethanamine as a resolving agent, using supercritical carbon dioxide as an antisolvent. Measurements were conducted at 120 bar pressure and 40 °C temperature using a 1:1 toluene-acetonitrile mixture as the organic solvent. The mass fraction of carbon dioxide was around 0.87. The experiments were proven to be repeatable. The method found to give a good enantioselectivity produced an approximately 88% yield of the raffinate, and over 90% of the extract.</w:t>
      </w:r>
    </w:p>
    <w:p>
      <w:pPr>
        <w:widowControl w:val="on"/>
        <w:pBdr/>
        <w:spacing w:before="240" w:after="240" w:line="240" w:lineRule="auto"/>
        <w:ind w:left="0" w:right="0"/>
        <w:jc w:val="left"/>
      </w:pPr>
      <w:r>
        <w:rPr>
          <w:color w:val="000000"/>
          <w:sz w:val="24"/>
          <w:szCs w:val="24"/>
        </w:rPr>
        <w:t xml:space="preserve">During the majority of my work I investigated the background of this process by determining the solubility product of the diastereomeric salt. I carried out the experiments using a high pressure view cell, and developed a method to obtain samples from the high pressure fluid phase, and to analyze them later. Finally, I chose measuring the mass of the samples using an equimolar ratio of the starting reagents. By carrying out these measurements with the diastereomeric salts obtained from the pure enantiomers of the racemic compound, and by varying the process parameters (e.g. pressure and temperature), the effect of these parameters on the difference of the solubility products of these diastereomeric salts can be investigated. We can expect the resolution experiments to give the best results under the circumstances where the difference is the greatest. With such experiments the time needed to investigate a completely new resolution system can be shortened.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21482">
    <w:multiLevelType w:val="hybridMultilevel"/>
    <w:lvl w:ilvl="0" w:tplc="89426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21482">
    <w:abstractNumId w:val="884214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801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