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BARANYI</w:t>
            </w:r>
          </w:p>
          <w:p w:rsidR="00C275A3" w:rsidRDefault="00A96AEC" w:rsidP="00C275A3">
            <w:pPr>
              <w:pStyle w:val="Hallgatokepzes"/>
            </w:pPr>
            <w:r>
              <w:t>Engineering in Pharmaceutical Industry</w:t>
            </w:r>
            <w:r>
              <w:br/>
            </w:r>
            <w:r w:rsidR="00E77B23">
              <w:t>MSc, 2.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György Marosi</w:t>
            </w:r>
          </w:p>
          <w:p w:rsidR="00DB4822" w:rsidRDefault="00DB4822" w:rsidP="00BA6BAF">
            <w:pPr>
              <w:pStyle w:val="Konzulensektitulus"/>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Modification of drug morhology using special crystallization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additive; crystal habit; Raman spectroscopy; ultrasound; flowability</w:t>
      </w:r>
      <w:r>
        <w:t xml:space="preserve"/>
      </w:r>
    </w:p>
    <w:p>
      <w:pPr>
        <w:widowControl w:val="on"/>
        <w:pBdr/>
        <w:spacing w:before="240" w:after="240" w:line="240" w:lineRule="auto"/>
        <w:ind w:left="0" w:right="0"/>
        <w:jc w:val="left"/>
      </w:pPr>
      <w:r>
        <w:rPr>
          <w:color w:val="000000"/>
          <w:sz w:val="24"/>
          <w:szCs w:val="24"/>
        </w:rPr>
        <w:t xml:space="preserve">Crystallization using additives and sonocrystallization can be applied as special technologies in order to modify the unfavourable flowability properties of active pharmaceutical ingredients. Moreover, monitoring based on real-time Raman spectroscopy is a promising way to investigate the kinetical background of crystallizations and to develope effective control strategies for the processes as well. The aim of my work was to improve the morhology of two selected drugs (famotidine, gabapentin) in the presence of formulation additives; using ultrasonic treatment during cooling crystallizations. In addition, all processes were monitored by real-time Raman spectroscopy.</w:t>
      </w:r>
    </w:p>
    <w:p>
      <w:pPr>
        <w:widowControl w:val="on"/>
        <w:pBdr/>
        <w:spacing w:before="240" w:after="240" w:line="240" w:lineRule="auto"/>
        <w:ind w:left="0" w:right="0"/>
        <w:jc w:val="left"/>
      </w:pPr>
      <w:r>
        <w:rPr>
          <w:color w:val="000000"/>
          <w:sz w:val="24"/>
          <w:szCs w:val="24"/>
        </w:rPr>
        <w:t xml:space="preserve">Kinetically preferred Form II of famotidine was crystallized during cooling with poor flowability and product could be characterized with unfavourable needle-like crystals. Thermodinamically stable Form II polymorph of gabapentin was formed from methanol in seeded crystallization as columnar big crystals which can require additional milling.</w:t>
      </w:r>
    </w:p>
    <w:p>
      <w:pPr>
        <w:widowControl w:val="on"/>
        <w:pBdr/>
        <w:spacing w:before="240" w:after="240" w:line="240" w:lineRule="auto"/>
        <w:ind w:left="0" w:right="0"/>
        <w:jc w:val="left"/>
      </w:pPr>
      <w:r>
        <w:rPr>
          <w:color w:val="000000"/>
          <w:sz w:val="24"/>
          <w:szCs w:val="24"/>
        </w:rPr>
        <w:t xml:space="preserve">Cooling crystallizations were performed in the presence of polyvinylpyrrolidone at three different molecular weights (PVP-K12, PVP-K30, PVP-K90) and vinylpyrrolidone-vinylacetate copolymer (PVPVA64). The polymorphic form of famotidine was changed in all experiments using additives, thermodinamically stable Form A structure was identified by both in-line and off-line Raman spectroscopy and X-Ray powder diffraction (XRPD). Famotidine with excellent flowability was produced − since PVP inhibited the crystallization and oriented the crystal growth, it facilitated the formation of crystal aggregates− thus the crystal habit was changed as a function of molecular weight of the applied polymer. Crystal habit and polymorphic changes did not appear during cooling crystallization of gabapentin in the presence of PVP. Although crystal size decreased siginificantly using PVP-K90. Powder flow properties were determined by compressibility tests, products were characterized by dissolution measurements, polymer contents of final famotidine was identified by </w:t>
      </w:r>
      <w:r>
        <w:rPr>
          <w:color w:val="000000"/>
          <w:position w:val="4"/>
          <w:sz w:val="21"/>
          <w:szCs w:val="21"/>
          <w:vertAlign w:val="superscript"/>
        </w:rPr>
        <w:t xml:space="preserve">1</w:t>
      </w:r>
      <w:r>
        <w:rPr>
          <w:color w:val="000000"/>
          <w:sz w:val="24"/>
          <w:szCs w:val="24"/>
        </w:rPr>
        <w:t xml:space="preserve">H-NMR.</w:t>
      </w:r>
    </w:p>
    <w:p>
      <w:pPr>
        <w:widowControl w:val="on"/>
        <w:pBdr/>
        <w:spacing w:before="240" w:after="240" w:line="240" w:lineRule="auto"/>
        <w:ind w:left="0" w:right="0"/>
        <w:jc w:val="left"/>
      </w:pPr>
      <w:r>
        <w:rPr>
          <w:color w:val="000000"/>
          <w:sz w:val="24"/>
          <w:szCs w:val="24"/>
        </w:rPr>
        <w:t xml:space="preserve">Excellent flow Form A of famotidine was produced at reduced crystal size (200 µm), while commercially available Form II of gabapentin was crystallized with narrow particle size distribution and at very small crystal size (6 µm) as a result of sonocrystallization.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66313">
    <w:multiLevelType w:val="hybridMultilevel"/>
    <w:lvl w:ilvl="0" w:tplc="32569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66313">
    <w:abstractNumId w:val="84066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489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