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ROBERT ORKENYI</w:t>
            </w:r>
          </w:p>
          <w:p w:rsidR="00C275A3" w:rsidRDefault="00A96AEC" w:rsidP="00C275A3">
            <w:pPr>
              <w:pStyle w:val="Hallgatokepzes"/>
            </w:pPr>
            <w:r>
              <w:t>Engineering in Pharmaceutical Industry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Janos Eles</w:t>
            </w:r>
          </w:p>
          <w:p w:rsidR="00DB4822" w:rsidRDefault="00DB4822" w:rsidP="00E11062">
            <w:pPr>
              <w:pStyle w:val="Konzulensek"/>
            </w:pPr>
            <w:r w:rsidRPr="00DB4822">
              <w:t>head of laboratory,  Gedeon Richter Plc., Medicinal Chemistry III.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synthesis of ethyl 2-(2,3-dihydro-1H-indole-2-yl)acetate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indole-derivaties; medicinal chemistry route; optimalization; H-Cube; catalic hydrogenation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been preparing my MSc thesis at the Medicinal Chemistry III. of Gedeon Richter Plc. One of my assignments is to improve the synthesis of ethyl 2-(2,3-dihydro-1H-indole-2-yl)acetate (6) in order to efficiently produce this synthetic intermediate in the required amount.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127200" cy="1893600"/>
            <wp:docPr id="91047275" name="name15487ae52a63e4" descr="imgtmp_31596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96_int_1.gif"/>
                    <pic:cNvPicPr/>
                  </pic:nvPicPr>
                  <pic:blipFill>
                    <a:blip r:embed="rId15487ae52a63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200" cy="18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reproducing the original synthetic route, I tested various reagents to transform compound 4 to 5, as well as evaluated an alternative pathway to form compound 5 that includes an intramolecular Wittig-reaction.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127200" cy="1072800"/>
            <wp:docPr id="71021076" name="name15487ae52a6753" descr="imgtmp_31596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96_int_2.gif"/>
                    <pic:cNvPicPr/>
                  </pic:nvPicPr>
                  <pic:blipFill>
                    <a:blip r:embed="rId15487ae52a66f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200" cy="10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Next, we investigated the applicability of atmospheric catalic hydrogenation to obtain the target molecule 6 from compound 4. By telescoping two steps we were able to eliminate expensive chemical reduction steps with environmental and safety issues. We used an H-Cube® continuous-flow catalitic hydrogenation reactor, and managed to identify an advantageous set of reaction parameters that provided compound 6 with a yield of over 70%.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14371">
    <w:multiLevelType w:val="hybridMultilevel"/>
    <w:lvl w:ilvl="0" w:tplc="32374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14371">
    <w:abstractNumId w:val="97914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187677" Type="http://schemas.openxmlformats.org/officeDocument/2006/relationships/numbering" Target="numbering.xml"/><Relationship Id="rId15487ae52a638d" Type="http://schemas.openxmlformats.org/officeDocument/2006/relationships/image" Target="media/imgrId15487ae52a638d.gif"/><Relationship Id="rId15487ae52a66fe" Type="http://schemas.openxmlformats.org/officeDocument/2006/relationships/image" Target="media/imgrId15487ae52a66f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