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ROJIK</w:t>
            </w:r>
          </w:p>
          <w:p w:rsidR="00C275A3" w:rsidRDefault="00A96AEC" w:rsidP="00C275A3">
            <w:pPr>
              <w:pStyle w:val="Hallgatokepzes"/>
            </w:pPr>
            <w:r>
              <w:t>MSc in Engineer in Pharmaceutical Industry</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Huszthy </w:t>
            </w:r>
          </w:p>
          <w:p w:rsidR="00DB4822" w:rsidRDefault="00DB4822" w:rsidP="00E11062">
            <w:pPr>
              <w:pStyle w:val="Konzulensek"/>
            </w:pPr>
            <w:r w:rsidRPr="00DB4822">
              <w:t>full professor, BME VBK</w:t>
            </w:r>
          </w:p>
        </w:tc>
      </w:tr>
      <w:tr w:rsidR="00DB4822" w:rsidTr="00DB4822">
        <w:tc>
          <w:tcPr>
            <w:tcW w:w="9854" w:type="dxa"/>
          </w:tcPr>
          <w:p w:rsidR="00DB4822" w:rsidRPr="00DB4822" w:rsidRDefault="00DB4822" w:rsidP="004D7940">
            <w:pPr>
              <w:pStyle w:val="Konzulensek"/>
            </w:pPr>
            <w:r w:rsidRPr="00DB4822">
              <w:t>Dr. József Kupai </w:t>
            </w:r>
          </w:p>
          <w:p w:rsidR="00DB4822" w:rsidRDefault="00DB4822" w:rsidP="00E11062">
            <w:pPr>
              <w:pStyle w:val="Konzulensek"/>
            </w:pPr>
            <w:r w:rsidRPr="00DB4822">
              <w:t>HAS postdoctor,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application of enantiopure pyridino- and piperidino-18-crown-6 ethers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organocatalysis; molecularly imprinted polymers; enantiomeric recognition; asymmetric synthesis; controlled drug release</w:t>
      </w:r>
      <w:r>
        <w:t xml:space="preserve"/>
      </w:r>
    </w:p>
    <w:p>
      <w:pPr>
        <w:widowControl w:val="on"/>
        <w:pBdr/>
        <w:spacing w:before="240" w:after="240" w:line="240" w:lineRule="auto"/>
        <w:ind w:left="0" w:right="0"/>
        <w:jc w:val="left"/>
      </w:pPr>
      <w:r>
        <w:rPr>
          <w:color w:val="000000"/>
          <w:sz w:val="24"/>
          <w:szCs w:val="24"/>
        </w:rPr>
        <w:t xml:space="preserve">Starting from commercially available and relatively cheap materials I synthetized such pyridine derivatives, which reactions with corresponding chiral amines gave optically active pyridino-crown ethers (S,S)-1–(S,S)-3 (see Fig. 1.). These macrocycles were converted to piperidino-crown ethers (S,S)-4–(S,S)-6, which are planned to be applied as organocatalysts in asymmetric Michael reactions. The effect on the enantioselectivity of the chlorine atom at position four of the pyridine ring and the alkyl groups on the chiral centers, respectively, will be tested.</w:t>
      </w:r>
      <w:r>
        <w:rPr>
          <w:color w:val="000000"/>
          <w:sz w:val="24"/>
          <w:szCs w:val="24"/>
        </w:rPr>
        <w:br/>
        <w:t xml:space="preserve">Furthermore, synthesis of an enantiopure 4-allyloxypyridino-18-crown-6 ether (S,S)-7 and a 2,6-bis(methoxymethyl)pyridine derivative 8, respectively, was achieved, which due to their terminal double bonds could be used as functional monomers of molecularly imprinted polymers (Fig. 1.).</w:t>
      </w:r>
    </w:p>
    <w:p>
      <w:pPr>
        <w:widowControl w:val="on"/>
        <w:pBdr/>
        <w:spacing w:before="240" w:after="240" w:line="240" w:lineRule="auto"/>
        <w:ind w:left="0" w:right="0"/>
        <w:jc w:val="left"/>
      </w:pPr>
      <w:r>
        <w:rPr>
          <w:color w:val="000000"/>
          <w:sz w:val="24"/>
          <w:szCs w:val="24"/>
        </w:rPr>
        <w:drawing>
          <wp:inline distT="0" distB="0" distL="0" distR="0">
            <wp:extent cx="4053600" cy="1792800"/>
            <wp:docPr id="28880839" name="name1547d6a94a6282" descr="imgtmp_3160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601_int_1.gif"/>
                    <pic:cNvPicPr/>
                  </pic:nvPicPr>
                  <pic:blipFill>
                    <a:blip r:embed="rId1547d6a94a6227" cstate="print"/>
                    <a:stretch>
                      <a:fillRect/>
                    </a:stretch>
                  </pic:blipFill>
                  <pic:spPr>
                    <a:xfrm>
                      <a:off x="0" y="0"/>
                      <a:ext cx="4053600" cy="1792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Fig. 1.</w:t>
      </w:r>
    </w:p>
    <w:p>
      <w:pPr>
        <w:widowControl w:val="on"/>
        <w:pBdr/>
        <w:spacing w:before="240" w:after="240" w:line="240" w:lineRule="auto"/>
        <w:ind w:left="0" w:right="0"/>
        <w:jc w:val="left"/>
      </w:pPr>
      <w:r>
        <w:rPr>
          <w:color w:val="000000"/>
          <w:sz w:val="24"/>
          <w:szCs w:val="24"/>
        </w:rPr>
        <w:t xml:space="preserve">Financial support of Hungarian Scientific Research Fund (grant number PD-108462 and K-81127) is gratefully acknowledged.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32934">
    <w:multiLevelType w:val="hybridMultilevel"/>
    <w:lvl w:ilvl="0" w:tplc="48546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32934">
    <w:abstractNumId w:val="58332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534173" Type="http://schemas.openxmlformats.org/officeDocument/2006/relationships/numbering" Target="numbering.xml"/><Relationship Id="rId1547d6a94a6227" Type="http://schemas.openxmlformats.org/officeDocument/2006/relationships/image" Target="media/imgrId1547d6a94a622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