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ANGELI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Boóc Phd</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Disappearance of the Non−Material Damages in Hungary? The New Institute of the Act V of 2013 on the Civil Code: Restitution for the Violation of Rights Relating to Personality as Indirect Compensation and also Private Punishment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general damages for infringement of personal rights, instituted by the Act V of 2013 on the Hungarian Civil Code shall change non-material compensation for the violation of rights relating to personality as indirect compensation and also private punishment, into pecuniary damages and restitution.</w:t>
      </w:r>
    </w:p>
    <w:p>
      <w:pPr>
        <w:widowControl w:val="on"/>
        <w:pBdr/>
        <w:spacing w:before="240" w:after="240" w:line="240" w:lineRule="auto"/>
        <w:ind w:left="0" w:right="0"/>
        <w:jc w:val="left"/>
      </w:pPr>
      <w:r>
        <w:rPr>
          <w:color w:val="000000"/>
          <w:sz w:val="24"/>
          <w:szCs w:val="24"/>
        </w:rPr>
        <w:t xml:space="preserve">This is a fundamental modification in the Hungarian jurisdiction as the new institution is settled into the part of the rights relating to personality. Furthermore, it is not necessary to verify apart from the fact of the infringement no other harm for the entitlement to restitution.</w:t>
      </w:r>
      <w:r>
        <w:rPr>
          <w:color w:val="000000"/>
          <w:sz w:val="24"/>
          <w:szCs w:val="24"/>
        </w:rPr>
        <w:br/>
        <w:t xml:space="preserve">In contrary the non-material damages were situated in the section for the rules of damages, for which reason the instruction of these rules were decisive on its enforcement.</w:t>
      </w:r>
    </w:p>
    <w:p>
      <w:pPr>
        <w:widowControl w:val="on"/>
        <w:pBdr/>
        <w:spacing w:before="240" w:after="240" w:line="240" w:lineRule="auto"/>
        <w:ind w:left="0" w:right="0"/>
        <w:jc w:val="left"/>
      </w:pPr>
      <w:r>
        <w:rPr>
          <w:color w:val="000000"/>
          <w:sz w:val="24"/>
          <w:szCs w:val="24"/>
        </w:rPr>
        <w:t xml:space="preserve">During my research I examined the actual disappearance of the non-pecuniary damages, which in my opinion does the inauguration of the general damages for infringement of personal rights not exclude the former legal institution.</w:t>
      </w:r>
    </w:p>
    <w:p>
      <w:pPr>
        <w:widowControl w:val="on"/>
        <w:pBdr/>
        <w:spacing w:before="240" w:after="240" w:line="240" w:lineRule="auto"/>
        <w:ind w:left="0" w:right="0"/>
        <w:jc w:val="left"/>
      </w:pPr>
      <w:r>
        <w:rPr>
          <w:color w:val="000000"/>
          <w:sz w:val="24"/>
          <w:szCs w:val="24"/>
        </w:rPr>
        <w:t xml:space="preserve">After the in-depth analysis of these tools of inherent rights I concluded that the non-pecuniary damages were converted, their legal ground was renamed and inaugurated as „general damages for infringement of personal rights” into the legal text.</w:t>
      </w:r>
    </w:p>
    <w:p>
      <w:pPr>
        <w:widowControl w:val="on"/>
        <w:pBdr/>
        <w:spacing w:before="240" w:after="240" w:line="240" w:lineRule="auto"/>
        <w:ind w:left="0" w:right="0"/>
        <w:jc w:val="left"/>
      </w:pPr>
      <w:r>
        <w:rPr>
          <w:color w:val="000000"/>
          <w:sz w:val="24"/>
          <w:szCs w:val="24"/>
        </w:rPr>
        <w:t xml:space="preserve">The new CC kept the wide discretionary power of the courts in respect of the claims for the general damages for infringement of personal rights, i.e. there were no concrete, solid guidelines referring to the most important questions of the new legal institution. Moreover in my estimation there are still some regulations reflecting the non-pecuniary damages among those regulations concerning the general damages for infringement of personal rights.</w:t>
      </w:r>
    </w:p>
    <w:p>
      <w:pPr>
        <w:widowControl w:val="on"/>
        <w:pBdr/>
        <w:spacing w:before="240" w:after="240" w:line="240" w:lineRule="auto"/>
        <w:ind w:left="0" w:right="0"/>
        <w:jc w:val="left"/>
      </w:pPr>
      <w:r>
        <w:rPr>
          <w:color w:val="000000"/>
          <w:sz w:val="24"/>
          <w:szCs w:val="24"/>
        </w:rPr>
        <w:t xml:space="preserve">Hence the courts will judge necessarily and unaltered using the detriment centered approach, which means that the legal institution will further function as non-pecuniary damage in practice. That the general damages for infringement of personal rights can function effectively and ensure its objective – to protect the inherent rights – I consider it justifiable to develop a benchmark, which initiates the proportion of the statutory law and application of law, for what I have made some suggestions in my paper.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55330">
    <w:multiLevelType w:val="hybridMultilevel"/>
    <w:lvl w:ilvl="0" w:tplc="59514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55330">
    <w:abstractNumId w:val="39655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281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