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FLÓRA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Grad-Gyenge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vezető jogállása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témája, a vezető jogállása, egy átfogó témabemutatásra utal. Struktúrájában is erre törekedtem és a célom az, hogy egy jól áttekinthető, tudományosan megalapozott képet adjak a hatályos, vezetőkre vonatkozó polgári jogi és munkajogi szabályozásról, annak kettősségéről, az esetleges – még kiküszöböletlen –problémákról.</w:t>
      </w:r>
      <w:r>
        <w:rPr>
          <w:color w:val="000000"/>
          <w:sz w:val="24"/>
          <w:szCs w:val="24"/>
        </w:rPr>
        <w:br/>
        <w:t xml:space="preserve">A témaválasztásomban szerepet játszott, hogy ez egy abszolút aktuális jogi probléma, valamint a személyes érdeklődésem mind a polgári jog mind a munkajog iránt. Az új Ptk. hatálybalépésével a polgári jog struktúrája megváltozott. A Gt. bekerült a törvénykönyvbe, ezáltal a vezetőkre vonatkozó szabályozás is, mely igen nagy hatást gyakorolt a vezetők jogállására, a jogviszonyuk keletkezésére, annak milyenségére, a kárfelelősség kérdéskörére, az előreláthatóság szerepére valamint a jogviszony megszüntetésére, megszűnésére a munkajogi szabályok alkalmazásának szempontjából is. Az általam vázolt problémák lényegi feltárására törekedtem és azokra megoldási javaslatokat is igyekeztem tenni.</w:t>
      </w:r>
      <w:r>
        <w:rPr>
          <w:color w:val="000000"/>
          <w:sz w:val="24"/>
          <w:szCs w:val="24"/>
        </w:rPr>
        <w:br/>
        <w:t xml:space="preserve">A témát a két szabályozás által indukált főbb csomópontokon keresztül vizsgálom és mutatom be a szabályozás kettősségét, beleértve a hasonlóságokat, különbözőségeket mindezt olykor jogesetekkel is szemlétesebbé téve. Nagy hangsúlyt fektettem a polgárjogászok és munkajogászok véleményeinek összehasonlítására, azok részletes vizsgálatára. Elsősorban gyakorló jogászok, a mindennapi életben előforduló lehetséges kérdéseit tettem fel én is a dolgozatomban, és törekedtem azok tudományos igényű megválaszolására.</w:t>
      </w:r>
      <w:r>
        <w:rPr>
          <w:color w:val="000000"/>
          <w:sz w:val="24"/>
          <w:szCs w:val="24"/>
        </w:rPr>
        <w:br/>
        <w:t xml:space="preserve">A felhasznált szakirodalom relációjában, leginkább a kritikai forráselemzés módszerét alkalmaztam.</w:t>
      </w:r>
      <w:r>
        <w:rPr>
          <w:color w:val="000000"/>
          <w:sz w:val="24"/>
          <w:szCs w:val="24"/>
        </w:rPr>
        <w:br/>
        <w:t xml:space="preserve">Kutatásom során vizsgáltam még:</w:t>
      </w:r>
      <w:r>
        <w:rPr>
          <w:color w:val="000000"/>
          <w:sz w:val="24"/>
          <w:szCs w:val="24"/>
        </w:rPr>
        <w:br/>
        <w:t xml:space="preserve">- az összeférhetetlenségi szabályokat,</w:t>
      </w:r>
      <w:r>
        <w:rPr>
          <w:color w:val="000000"/>
          <w:sz w:val="24"/>
          <w:szCs w:val="24"/>
        </w:rPr>
        <w:br/>
        <w:t xml:space="preserve">- a polgári jog által megfogalmazott kártérítési szabályokat,</w:t>
      </w:r>
      <w:r>
        <w:rPr>
          <w:color w:val="000000"/>
          <w:sz w:val="24"/>
          <w:szCs w:val="24"/>
        </w:rPr>
        <w:br/>
        <w:t xml:space="preserve">- a károk típusát</w:t>
      </w:r>
      <w:r>
        <w:rPr>
          <w:color w:val="000000"/>
          <w:sz w:val="24"/>
          <w:szCs w:val="24"/>
        </w:rPr>
        <w:br/>
        <w:t xml:space="preserve">- az előreláthatóság szerepét a kárfelelősség mértékének polgári jogi és munkajogi szempontjából.</w:t>
      </w:r>
      <w:r>
        <w:rPr>
          <w:color w:val="000000"/>
          <w:sz w:val="24"/>
          <w:szCs w:val="24"/>
        </w:rPr>
        <w:br/>
        <w:t xml:space="preserve">Mindezekre a részletszabályok tisztázása miatt, illetve a tudományos források elemzése végett volt szükség.</w:t>
      </w:r>
      <w:r>
        <w:rPr>
          <w:color w:val="000000"/>
          <w:sz w:val="24"/>
          <w:szCs w:val="24"/>
        </w:rPr>
        <w:br/>
        <w:t xml:space="preserve">Zárszóként a jövőben jelentkező problémák megoldása végett javasolom, egy egységes szabályozás kialakítását.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74043">
    <w:multiLevelType w:val="hybridMultilevel"/>
    <w:lvl w:ilvl="0" w:tplc="91014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74043">
    <w:abstractNumId w:val="89074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065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