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SZÖGHY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Ádam Boóc, PhD</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Civil law responsibility of the doctor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intend to present certain directions of legal regulation of medical liability as well as some related cases appearing in Hungarian and foreign judicial law. All this is presented from the perspective of medical malpractice.</w:t>
      </w:r>
      <w:r>
        <w:rPr>
          <w:color w:val="000000"/>
          <w:sz w:val="24"/>
          <w:szCs w:val="24"/>
        </w:rPr>
        <w:br/>
        <w:t xml:space="preserve">I built up my study heading from the general to the specific. It means that the history and discussion of medical malpractice which forms the basis of medical compensation is seen the primary aspect to be clarified. Following the introduction of the concept of medical malpractice tort law, I intend to introduce the concept of the injury and damages relations. Due to the expansion of the delictual and contractual liability system of the new Civil Code, I find it important to discuss the rules and trends in the relationship between doctor and patient. Since the issue of medical liability arising from medical malpractice and its compensation solutions are best presented through judicial resolutions, I tried to introduce the most frequent problems in medical lawsuits through specified cases, such as damage caused by the obstetrics and gynaecology activity, the recovery chances of losing assessment of damages, the damage caused by a foreign body in a body cavity, and damage arising from problems with information which has the highest number of cases in Hungarian lawsociology.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04342">
    <w:multiLevelType w:val="hybridMultilevel"/>
    <w:lvl w:ilvl="0" w:tplc="96796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04342">
    <w:abstractNumId w:val="46004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334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